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10A" w:rsidRDefault="0086610A">
      <w:pPr>
        <w:spacing w:before="79"/>
        <w:ind w:left="118"/>
        <w:rPr>
          <w:b/>
          <w:sz w:val="24"/>
        </w:rPr>
      </w:pPr>
      <w:r>
        <w:rPr>
          <w:b/>
          <w:sz w:val="24"/>
        </w:rPr>
        <w:t>N°</w:t>
      </w:r>
      <w:r>
        <w:rPr>
          <w:b/>
          <w:spacing w:val="-1"/>
          <w:sz w:val="24"/>
        </w:rPr>
        <w:t xml:space="preserve"> </w:t>
      </w:r>
      <w:r>
        <w:rPr>
          <w:b/>
          <w:spacing w:val="-2"/>
          <w:sz w:val="24"/>
        </w:rPr>
        <w:t>465852</w:t>
      </w:r>
    </w:p>
    <w:p w:rsidR="0086610A" w:rsidRDefault="0086610A">
      <w:pPr>
        <w:ind w:left="118"/>
        <w:rPr>
          <w:b/>
          <w:sz w:val="24"/>
        </w:rPr>
      </w:pPr>
      <w:r>
        <w:rPr>
          <w:b/>
          <w:sz w:val="24"/>
        </w:rPr>
        <w:t>Société</w:t>
      </w:r>
      <w:r>
        <w:rPr>
          <w:b/>
          <w:spacing w:val="-5"/>
          <w:sz w:val="24"/>
        </w:rPr>
        <w:t xml:space="preserve"> </w:t>
      </w:r>
      <w:r>
        <w:rPr>
          <w:b/>
          <w:sz w:val="24"/>
        </w:rPr>
        <w:t>Carmejane</w:t>
      </w:r>
      <w:r>
        <w:rPr>
          <w:b/>
          <w:spacing w:val="-2"/>
          <w:sz w:val="24"/>
        </w:rPr>
        <w:t xml:space="preserve"> </w:t>
      </w:r>
      <w:r>
        <w:rPr>
          <w:b/>
          <w:spacing w:val="-5"/>
          <w:sz w:val="24"/>
        </w:rPr>
        <w:t>LLC</w:t>
      </w:r>
    </w:p>
    <w:p w:rsidR="0086610A" w:rsidRDefault="0086610A">
      <w:pPr>
        <w:spacing w:line="830" w:lineRule="atLeast"/>
        <w:ind w:left="118" w:right="5634"/>
        <w:rPr>
          <w:b/>
          <w:sz w:val="24"/>
        </w:rPr>
      </w:pPr>
      <w:r>
        <w:rPr>
          <w:b/>
          <w:sz w:val="24"/>
        </w:rPr>
        <w:t>8</w:t>
      </w:r>
      <w:r>
        <w:rPr>
          <w:b/>
          <w:position w:val="8"/>
          <w:sz w:val="16"/>
        </w:rPr>
        <w:t>ème</w:t>
      </w:r>
      <w:r>
        <w:rPr>
          <w:b/>
          <w:spacing w:val="11"/>
          <w:position w:val="8"/>
          <w:sz w:val="16"/>
        </w:rPr>
        <w:t xml:space="preserve"> </w:t>
      </w:r>
      <w:r>
        <w:rPr>
          <w:b/>
          <w:sz w:val="24"/>
        </w:rPr>
        <w:t>et</w:t>
      </w:r>
      <w:r>
        <w:rPr>
          <w:b/>
          <w:spacing w:val="-9"/>
          <w:sz w:val="24"/>
        </w:rPr>
        <w:t xml:space="preserve"> </w:t>
      </w:r>
      <w:r>
        <w:rPr>
          <w:b/>
          <w:sz w:val="24"/>
        </w:rPr>
        <w:t>3</w:t>
      </w:r>
      <w:r>
        <w:rPr>
          <w:b/>
          <w:position w:val="8"/>
          <w:sz w:val="16"/>
        </w:rPr>
        <w:t>ème</w:t>
      </w:r>
      <w:r>
        <w:rPr>
          <w:b/>
          <w:spacing w:val="14"/>
          <w:position w:val="8"/>
          <w:sz w:val="16"/>
        </w:rPr>
        <w:t xml:space="preserve"> </w:t>
      </w:r>
      <w:r>
        <w:rPr>
          <w:b/>
          <w:sz w:val="24"/>
        </w:rPr>
        <w:t>chambres</w:t>
      </w:r>
      <w:r>
        <w:rPr>
          <w:b/>
          <w:spacing w:val="-9"/>
          <w:sz w:val="24"/>
        </w:rPr>
        <w:t xml:space="preserve"> </w:t>
      </w:r>
      <w:r>
        <w:rPr>
          <w:b/>
          <w:sz w:val="24"/>
        </w:rPr>
        <w:t>réunies Séance du 23 octobre 2023</w:t>
      </w:r>
    </w:p>
    <w:p w:rsidR="0086610A" w:rsidRDefault="0086610A">
      <w:pPr>
        <w:spacing w:line="274" w:lineRule="exact"/>
        <w:ind w:left="118"/>
        <w:rPr>
          <w:b/>
          <w:sz w:val="24"/>
        </w:rPr>
      </w:pPr>
      <w:r>
        <w:rPr>
          <w:b/>
          <w:sz w:val="24"/>
        </w:rPr>
        <w:t>Décision</w:t>
      </w:r>
      <w:r>
        <w:rPr>
          <w:b/>
          <w:spacing w:val="-2"/>
          <w:sz w:val="24"/>
        </w:rPr>
        <w:t xml:space="preserve"> </w:t>
      </w:r>
      <w:r>
        <w:rPr>
          <w:b/>
          <w:sz w:val="24"/>
        </w:rPr>
        <w:t>du</w:t>
      </w:r>
      <w:r>
        <w:rPr>
          <w:b/>
          <w:spacing w:val="-2"/>
          <w:sz w:val="24"/>
        </w:rPr>
        <w:t xml:space="preserve"> </w:t>
      </w:r>
      <w:r>
        <w:rPr>
          <w:b/>
          <w:sz w:val="24"/>
        </w:rPr>
        <w:t>13</w:t>
      </w:r>
      <w:r>
        <w:rPr>
          <w:b/>
          <w:spacing w:val="-2"/>
          <w:sz w:val="24"/>
        </w:rPr>
        <w:t xml:space="preserve"> </w:t>
      </w:r>
      <w:r>
        <w:rPr>
          <w:b/>
          <w:sz w:val="24"/>
        </w:rPr>
        <w:t>novembre</w:t>
      </w:r>
      <w:r>
        <w:rPr>
          <w:b/>
          <w:spacing w:val="-3"/>
          <w:sz w:val="24"/>
        </w:rPr>
        <w:t xml:space="preserve"> </w:t>
      </w:r>
      <w:r>
        <w:rPr>
          <w:b/>
          <w:spacing w:val="-4"/>
          <w:sz w:val="24"/>
        </w:rPr>
        <w:t>2023</w:t>
      </w:r>
    </w:p>
    <w:p w:rsidR="0086610A" w:rsidRDefault="0086610A">
      <w:pPr>
        <w:pStyle w:val="BodyText"/>
        <w:rPr>
          <w:b/>
        </w:rPr>
      </w:pPr>
    </w:p>
    <w:p w:rsidR="0086610A" w:rsidRDefault="0086610A">
      <w:pPr>
        <w:pStyle w:val="BodyText"/>
        <w:spacing w:before="275"/>
        <w:rPr>
          <w:b/>
        </w:rPr>
      </w:pPr>
    </w:p>
    <w:p w:rsidR="0086610A" w:rsidRDefault="0086610A">
      <w:pPr>
        <w:ind w:right="59"/>
        <w:jc w:val="center"/>
        <w:rPr>
          <w:b/>
          <w:sz w:val="24"/>
        </w:rPr>
      </w:pPr>
      <w:r>
        <w:rPr>
          <w:b/>
          <w:spacing w:val="-2"/>
          <w:sz w:val="24"/>
        </w:rPr>
        <w:t>CONCLUSIONS</w:t>
      </w:r>
    </w:p>
    <w:p w:rsidR="0086610A" w:rsidRDefault="0086610A">
      <w:pPr>
        <w:pStyle w:val="BodyText"/>
        <w:rPr>
          <w:b/>
        </w:rPr>
      </w:pPr>
    </w:p>
    <w:p w:rsidR="0086610A" w:rsidRDefault="0086610A">
      <w:pPr>
        <w:ind w:right="56"/>
        <w:jc w:val="center"/>
        <w:rPr>
          <w:b/>
          <w:sz w:val="24"/>
        </w:rPr>
      </w:pPr>
      <w:r>
        <w:rPr>
          <w:b/>
          <w:sz w:val="24"/>
        </w:rPr>
        <w:t>Mme</w:t>
      </w:r>
      <w:r>
        <w:rPr>
          <w:b/>
          <w:spacing w:val="-2"/>
          <w:sz w:val="24"/>
        </w:rPr>
        <w:t xml:space="preserve"> </w:t>
      </w:r>
      <w:r>
        <w:rPr>
          <w:b/>
          <w:sz w:val="24"/>
        </w:rPr>
        <w:t>Karin</w:t>
      </w:r>
      <w:r>
        <w:rPr>
          <w:b/>
          <w:spacing w:val="-2"/>
          <w:sz w:val="24"/>
        </w:rPr>
        <w:t xml:space="preserve"> </w:t>
      </w:r>
      <w:r>
        <w:rPr>
          <w:b/>
          <w:sz w:val="24"/>
        </w:rPr>
        <w:t>CIAVALDINI,</w:t>
      </w:r>
      <w:r>
        <w:rPr>
          <w:b/>
          <w:spacing w:val="-2"/>
          <w:sz w:val="24"/>
        </w:rPr>
        <w:t xml:space="preserve"> </w:t>
      </w:r>
      <w:r>
        <w:rPr>
          <w:b/>
          <w:sz w:val="24"/>
        </w:rPr>
        <w:t>Rapporteure</w:t>
      </w:r>
      <w:r>
        <w:rPr>
          <w:b/>
          <w:spacing w:val="-3"/>
          <w:sz w:val="24"/>
        </w:rPr>
        <w:t xml:space="preserve"> </w:t>
      </w:r>
      <w:r>
        <w:rPr>
          <w:b/>
          <w:spacing w:val="-2"/>
          <w:sz w:val="24"/>
        </w:rPr>
        <w:t>publique</w:t>
      </w:r>
    </w:p>
    <w:p w:rsidR="0086610A" w:rsidRDefault="0086610A">
      <w:pPr>
        <w:pStyle w:val="BodyText"/>
        <w:rPr>
          <w:b/>
        </w:rPr>
      </w:pPr>
    </w:p>
    <w:p w:rsidR="0086610A" w:rsidRDefault="0086610A">
      <w:pPr>
        <w:pStyle w:val="BodyText"/>
        <w:spacing w:before="271"/>
        <w:rPr>
          <w:b/>
        </w:rPr>
      </w:pPr>
    </w:p>
    <w:p w:rsidR="0086610A" w:rsidRDefault="0086610A">
      <w:pPr>
        <w:pStyle w:val="BodyText"/>
        <w:ind w:left="118" w:right="176" w:firstLine="540"/>
        <w:jc w:val="both"/>
      </w:pPr>
      <w:r>
        <w:t>Cette affaire permet d’illustrer la notion d’opération à caractère lucratif, pour l’application du 1 de l’article 206 du code général des impôts (CGI), dans le cas d’une mise à disposition gratuite, par une société étrangère, de biens immobiliers lui appartenant.</w:t>
      </w:r>
    </w:p>
    <w:p w:rsidR="0086610A" w:rsidRDefault="0086610A">
      <w:pPr>
        <w:pStyle w:val="BodyText"/>
      </w:pPr>
    </w:p>
    <w:p w:rsidR="0086610A" w:rsidRDefault="0086610A">
      <w:pPr>
        <w:pStyle w:val="BodyText"/>
        <w:ind w:left="118" w:right="123" w:firstLine="540"/>
        <w:jc w:val="both"/>
      </w:pPr>
      <w:r>
        <w:t>La société Carmejane, société de droit américain constituée sous la forme d’une Limited Liability Company (LLC), a pour associés M. Tench Coxe et son épouse, qui demeurent en Californie. Elle possède pour seuls actifs deux biens immobiliers situés à Ménerbes</w:t>
      </w:r>
      <w:r>
        <w:rPr>
          <w:spacing w:val="80"/>
        </w:rPr>
        <w:t xml:space="preserve"> </w:t>
      </w:r>
      <w:r>
        <w:t>(Vaucluse) : d’une part, un hôtel particulier situé à l’emplacement d’un ancien château féodal et ayant conservé des vestiges médiévaux, doté de somptueux jardins, d’autre part une maison plus modeste. Ces biens immobiliers sont mis à</w:t>
      </w:r>
      <w:r>
        <w:rPr>
          <w:spacing w:val="-1"/>
        </w:rPr>
        <w:t xml:space="preserve"> </w:t>
      </w:r>
      <w:r>
        <w:t>la disposition gratuite</w:t>
      </w:r>
      <w:r>
        <w:rPr>
          <w:spacing w:val="-1"/>
        </w:rPr>
        <w:t xml:space="preserve"> </w:t>
      </w:r>
      <w:r>
        <w:t>des parents de</w:t>
      </w:r>
      <w:r>
        <w:rPr>
          <w:spacing w:val="-1"/>
        </w:rPr>
        <w:t xml:space="preserve"> </w:t>
      </w:r>
      <w:r>
        <w:t>M. Coxe, qui occupent l’hôtel particulier et ont attribué la maison, à titre de logement de fonction, à la personne qu’ils emploient comme jardinier et gardien de la propriété.</w:t>
      </w:r>
    </w:p>
    <w:p w:rsidR="0086610A" w:rsidRDefault="0086610A">
      <w:pPr>
        <w:pStyle w:val="BodyText"/>
        <w:spacing w:before="1"/>
      </w:pPr>
    </w:p>
    <w:p w:rsidR="0086610A" w:rsidRDefault="0086610A">
      <w:pPr>
        <w:pStyle w:val="BodyText"/>
        <w:ind w:left="118" w:right="175" w:firstLine="540"/>
        <w:jc w:val="both"/>
      </w:pPr>
      <w:r>
        <w:t>A la suite d’un contrôle, l’administration fiscale a estimé que la société était passible de l’impôt sur les sociétés (IS) et a mis à sa charge des cotisations supplémentaires de cet impôt, au titre</w:t>
      </w:r>
      <w:r>
        <w:rPr>
          <w:spacing w:val="-2"/>
        </w:rPr>
        <w:t xml:space="preserve"> </w:t>
      </w:r>
      <w:r>
        <w:t>des exercices clos en 2011 et 2012. La</w:t>
      </w:r>
      <w:r>
        <w:rPr>
          <w:spacing w:val="-1"/>
        </w:rPr>
        <w:t xml:space="preserve"> </w:t>
      </w:r>
      <w:r>
        <w:t>société</w:t>
      </w:r>
      <w:r>
        <w:rPr>
          <w:spacing w:val="-1"/>
        </w:rPr>
        <w:t xml:space="preserve"> </w:t>
      </w:r>
      <w:r>
        <w:t>en a</w:t>
      </w:r>
      <w:r>
        <w:rPr>
          <w:spacing w:val="-1"/>
        </w:rPr>
        <w:t xml:space="preserve"> </w:t>
      </w:r>
      <w:r>
        <w:t>vainement demandé</w:t>
      </w:r>
      <w:r>
        <w:rPr>
          <w:spacing w:val="-1"/>
        </w:rPr>
        <w:t xml:space="preserve"> </w:t>
      </w:r>
      <w:r>
        <w:t>la</w:t>
      </w:r>
      <w:r>
        <w:rPr>
          <w:spacing w:val="-1"/>
        </w:rPr>
        <w:t xml:space="preserve"> </w:t>
      </w:r>
      <w:r>
        <w:t>décharge au tribunal administratif de Nîmes, puis à la cour administrative d’appel de Marseille. Elle conteste en cassation l’arrêt de cette cour, en tant qu’il l’a jugée passible de l’IS.</w:t>
      </w:r>
    </w:p>
    <w:p w:rsidR="0086610A" w:rsidRDefault="0086610A">
      <w:pPr>
        <w:pStyle w:val="BodyText"/>
        <w:spacing w:before="274"/>
        <w:ind w:left="118" w:right="174" w:firstLine="540"/>
        <w:jc w:val="both"/>
      </w:pPr>
      <w:r>
        <w:t>Le 1 de l’article 206 du CGI pose deux critères alternatifs d’assujettissement à l’IS : le premier est lié à la forme sociale de la société, quel que soit son objet (sont assujetties les sociétés anonymes, les sociétés en commandite par actions, les sociétés à responsabilité limitée n’ayant pas opté pour le régime fiscal des sociétés de personnes, les sociétés coopératives et leurs unions) ; le second, qui intervient à titre subsidiaire, vise les personnes morales en général et est tiré du caractère lucratif de l’exploitation ou des opérations auxquelles elles se livrent.</w:t>
      </w:r>
    </w:p>
    <w:p w:rsidR="0086610A" w:rsidRDefault="0086610A">
      <w:pPr>
        <w:pStyle w:val="BodyText"/>
      </w:pPr>
    </w:p>
    <w:p w:rsidR="0086610A" w:rsidRDefault="0086610A">
      <w:pPr>
        <w:pStyle w:val="BodyText"/>
        <w:ind w:left="118" w:right="173" w:firstLine="540"/>
        <w:jc w:val="both"/>
      </w:pPr>
      <w:r>
        <w:t xml:space="preserve">La cour administrative d’appel s’est d’abord intéressée au premier critère et, conformément à votre jurisprudence (CE, Plén., </w:t>
      </w:r>
      <w:r>
        <w:rPr>
          <w:i/>
        </w:rPr>
        <w:t xml:space="preserve">24 novembre 2014, n° 363556, </w:t>
      </w:r>
      <w:r>
        <w:rPr>
          <w:b/>
          <w:i/>
        </w:rPr>
        <w:t>Sté Artémis SA</w:t>
      </w:r>
      <w:r>
        <w:rPr>
          <w:vertAlign w:val="superscript"/>
        </w:rPr>
        <w:t>1</w:t>
      </w:r>
      <w:r>
        <w:t>),</w:t>
      </w:r>
      <w:r>
        <w:rPr>
          <w:spacing w:val="26"/>
        </w:rPr>
        <w:t xml:space="preserve"> </w:t>
      </w:r>
      <w:r>
        <w:t>elle</w:t>
      </w:r>
      <w:r>
        <w:rPr>
          <w:spacing w:val="27"/>
        </w:rPr>
        <w:t xml:space="preserve"> </w:t>
      </w:r>
      <w:r>
        <w:t>a</w:t>
      </w:r>
      <w:r>
        <w:rPr>
          <w:spacing w:val="26"/>
        </w:rPr>
        <w:t xml:space="preserve"> </w:t>
      </w:r>
      <w:r>
        <w:t>d’abord</w:t>
      </w:r>
      <w:r>
        <w:rPr>
          <w:spacing w:val="25"/>
        </w:rPr>
        <w:t xml:space="preserve"> </w:t>
      </w:r>
      <w:r>
        <w:t>cherché</w:t>
      </w:r>
      <w:r>
        <w:rPr>
          <w:spacing w:val="26"/>
        </w:rPr>
        <w:t xml:space="preserve"> </w:t>
      </w:r>
      <w:r>
        <w:t>à</w:t>
      </w:r>
      <w:r>
        <w:rPr>
          <w:spacing w:val="26"/>
        </w:rPr>
        <w:t xml:space="preserve"> </w:t>
      </w:r>
      <w:r>
        <w:t>identifier,</w:t>
      </w:r>
      <w:r>
        <w:rPr>
          <w:spacing w:val="25"/>
        </w:rPr>
        <w:t xml:space="preserve"> </w:t>
      </w:r>
      <w:r>
        <w:t>au</w:t>
      </w:r>
      <w:r>
        <w:rPr>
          <w:spacing w:val="27"/>
        </w:rPr>
        <w:t xml:space="preserve"> </w:t>
      </w:r>
      <w:r>
        <w:t>regard</w:t>
      </w:r>
      <w:r>
        <w:rPr>
          <w:spacing w:val="27"/>
        </w:rPr>
        <w:t xml:space="preserve"> </w:t>
      </w:r>
      <w:r>
        <w:t>de</w:t>
      </w:r>
      <w:r>
        <w:rPr>
          <w:spacing w:val="26"/>
        </w:rPr>
        <w:t xml:space="preserve"> </w:t>
      </w:r>
      <w:r>
        <w:t>l’ensemble</w:t>
      </w:r>
      <w:r>
        <w:rPr>
          <w:spacing w:val="25"/>
        </w:rPr>
        <w:t xml:space="preserve"> </w:t>
      </w:r>
      <w:r>
        <w:t>des</w:t>
      </w:r>
      <w:r>
        <w:rPr>
          <w:spacing w:val="27"/>
        </w:rPr>
        <w:t xml:space="preserve"> </w:t>
      </w:r>
      <w:r>
        <w:t>caractéristiques</w:t>
      </w:r>
      <w:r>
        <w:rPr>
          <w:spacing w:val="27"/>
        </w:rPr>
        <w:t xml:space="preserve"> </w:t>
      </w:r>
      <w:r>
        <w:t>de</w:t>
      </w:r>
      <w:r>
        <w:rPr>
          <w:spacing w:val="25"/>
        </w:rPr>
        <w:t xml:space="preserve"> </w:t>
      </w:r>
      <w:r>
        <w:rPr>
          <w:spacing w:val="-5"/>
        </w:rPr>
        <w:t>la</w:t>
      </w:r>
    </w:p>
    <w:p w:rsidR="0086610A" w:rsidRDefault="0086610A">
      <w:pPr>
        <w:pStyle w:val="BodyText"/>
        <w:rPr>
          <w:sz w:val="20"/>
        </w:rPr>
      </w:pPr>
    </w:p>
    <w:p w:rsidR="0086610A" w:rsidRDefault="0086610A">
      <w:pPr>
        <w:pStyle w:val="BodyText"/>
        <w:spacing w:before="214"/>
        <w:rPr>
          <w:sz w:val="20"/>
        </w:rPr>
      </w:pPr>
      <w:r>
        <w:rPr>
          <w:noProof/>
          <w:lang w:eastAsia="fr-FR"/>
        </w:rPr>
        <w:pict>
          <v:rect id="docshape1" o:spid="_x0000_s1026" style="position:absolute;margin-left:70.95pt;margin-top:23.4pt;width:2in;height:.6pt;z-index:-251658240;mso-wrap-distance-left:0;mso-wrap-distance-right:0;mso-position-horizontal-relative:page" fillcolor="black" stroked="f">
            <w10:wrap type="topAndBottom" anchorx="page"/>
          </v:rect>
        </w:pict>
      </w:r>
    </w:p>
    <w:p w:rsidR="0086610A" w:rsidRDefault="0086610A">
      <w:pPr>
        <w:spacing w:before="101"/>
        <w:ind w:left="118"/>
        <w:rPr>
          <w:sz w:val="20"/>
        </w:rPr>
      </w:pPr>
      <w:r>
        <w:rPr>
          <w:sz w:val="20"/>
          <w:vertAlign w:val="superscript"/>
        </w:rPr>
        <w:t>1</w:t>
      </w:r>
      <w:r>
        <w:rPr>
          <w:spacing w:val="-5"/>
          <w:sz w:val="20"/>
        </w:rPr>
        <w:t xml:space="preserve"> </w:t>
      </w:r>
      <w:r>
        <w:rPr>
          <w:sz w:val="20"/>
        </w:rPr>
        <w:t>Au</w:t>
      </w:r>
      <w:r>
        <w:rPr>
          <w:spacing w:val="-5"/>
          <w:sz w:val="20"/>
        </w:rPr>
        <w:t xml:space="preserve"> </w:t>
      </w:r>
      <w:r>
        <w:rPr>
          <w:sz w:val="20"/>
        </w:rPr>
        <w:t>Recueil,</w:t>
      </w:r>
      <w:r>
        <w:rPr>
          <w:spacing w:val="-4"/>
          <w:sz w:val="20"/>
        </w:rPr>
        <w:t xml:space="preserve"> </w:t>
      </w:r>
      <w:r>
        <w:rPr>
          <w:sz w:val="20"/>
        </w:rPr>
        <w:t>RJF</w:t>
      </w:r>
      <w:r>
        <w:rPr>
          <w:spacing w:val="-5"/>
          <w:sz w:val="20"/>
        </w:rPr>
        <w:t xml:space="preserve"> </w:t>
      </w:r>
      <w:r>
        <w:rPr>
          <w:sz w:val="20"/>
        </w:rPr>
        <w:t>2/15</w:t>
      </w:r>
      <w:r>
        <w:rPr>
          <w:spacing w:val="-3"/>
          <w:sz w:val="20"/>
        </w:rPr>
        <w:t xml:space="preserve"> </w:t>
      </w:r>
      <w:r>
        <w:rPr>
          <w:sz w:val="20"/>
        </w:rPr>
        <w:t>n°</w:t>
      </w:r>
      <w:r>
        <w:rPr>
          <w:spacing w:val="-5"/>
          <w:sz w:val="20"/>
        </w:rPr>
        <w:t xml:space="preserve"> </w:t>
      </w:r>
      <w:r>
        <w:rPr>
          <w:sz w:val="20"/>
        </w:rPr>
        <w:t>102,</w:t>
      </w:r>
      <w:r>
        <w:rPr>
          <w:spacing w:val="-4"/>
          <w:sz w:val="20"/>
        </w:rPr>
        <w:t xml:space="preserve"> </w:t>
      </w:r>
      <w:r>
        <w:rPr>
          <w:sz w:val="20"/>
        </w:rPr>
        <w:t>chronique</w:t>
      </w:r>
      <w:r>
        <w:rPr>
          <w:spacing w:val="-4"/>
          <w:sz w:val="20"/>
        </w:rPr>
        <w:t xml:space="preserve"> </w:t>
      </w:r>
      <w:r>
        <w:rPr>
          <w:sz w:val="20"/>
        </w:rPr>
        <w:t>N.</w:t>
      </w:r>
      <w:r>
        <w:rPr>
          <w:spacing w:val="-1"/>
          <w:sz w:val="20"/>
        </w:rPr>
        <w:t xml:space="preserve"> </w:t>
      </w:r>
      <w:r>
        <w:rPr>
          <w:sz w:val="20"/>
        </w:rPr>
        <w:t>Labrune</w:t>
      </w:r>
      <w:r>
        <w:rPr>
          <w:spacing w:val="-4"/>
          <w:sz w:val="20"/>
        </w:rPr>
        <w:t xml:space="preserve"> </w:t>
      </w:r>
      <w:r>
        <w:rPr>
          <w:sz w:val="20"/>
        </w:rPr>
        <w:t>p.</w:t>
      </w:r>
      <w:r>
        <w:rPr>
          <w:spacing w:val="-5"/>
          <w:sz w:val="20"/>
        </w:rPr>
        <w:t xml:space="preserve"> </w:t>
      </w:r>
      <w:r>
        <w:rPr>
          <w:sz w:val="20"/>
        </w:rPr>
        <w:t>83,</w:t>
      </w:r>
      <w:r>
        <w:rPr>
          <w:spacing w:val="3"/>
          <w:sz w:val="20"/>
        </w:rPr>
        <w:t xml:space="preserve"> </w:t>
      </w:r>
      <w:r>
        <w:rPr>
          <w:sz w:val="20"/>
        </w:rPr>
        <w:t>cl.</w:t>
      </w:r>
      <w:r>
        <w:rPr>
          <w:spacing w:val="-4"/>
          <w:sz w:val="20"/>
        </w:rPr>
        <w:t xml:space="preserve"> </w:t>
      </w:r>
      <w:r>
        <w:rPr>
          <w:sz w:val="20"/>
        </w:rPr>
        <w:t>E.</w:t>
      </w:r>
      <w:r>
        <w:rPr>
          <w:spacing w:val="-4"/>
          <w:sz w:val="20"/>
        </w:rPr>
        <w:t xml:space="preserve"> </w:t>
      </w:r>
      <w:r>
        <w:rPr>
          <w:sz w:val="20"/>
        </w:rPr>
        <w:t>Cortot-Boucher</w:t>
      </w:r>
      <w:r>
        <w:rPr>
          <w:spacing w:val="-4"/>
          <w:sz w:val="20"/>
        </w:rPr>
        <w:t xml:space="preserve"> </w:t>
      </w:r>
      <w:r>
        <w:rPr>
          <w:sz w:val="20"/>
        </w:rPr>
        <w:t>BDCF</w:t>
      </w:r>
      <w:r>
        <w:rPr>
          <w:spacing w:val="-5"/>
          <w:sz w:val="20"/>
        </w:rPr>
        <w:t xml:space="preserve"> </w:t>
      </w:r>
      <w:r>
        <w:rPr>
          <w:sz w:val="20"/>
        </w:rPr>
        <w:t>2/15</w:t>
      </w:r>
      <w:r>
        <w:rPr>
          <w:spacing w:val="-3"/>
          <w:sz w:val="20"/>
        </w:rPr>
        <w:t xml:space="preserve"> </w:t>
      </w:r>
      <w:r>
        <w:rPr>
          <w:sz w:val="20"/>
        </w:rPr>
        <w:t>n°</w:t>
      </w:r>
      <w:r>
        <w:rPr>
          <w:spacing w:val="-5"/>
          <w:sz w:val="20"/>
        </w:rPr>
        <w:t xml:space="preserve"> 15.</w:t>
      </w:r>
    </w:p>
    <w:p w:rsidR="0086610A" w:rsidRDefault="0086610A">
      <w:pPr>
        <w:rPr>
          <w:sz w:val="20"/>
        </w:rPr>
        <w:sectPr w:rsidR="0086610A">
          <w:type w:val="continuous"/>
          <w:pgSz w:w="11910" w:h="16840"/>
          <w:pgMar w:top="1320" w:right="1240" w:bottom="280" w:left="1300" w:header="720" w:footer="720" w:gutter="0"/>
          <w:cols w:space="720"/>
        </w:sectPr>
      </w:pPr>
    </w:p>
    <w:p w:rsidR="0086610A" w:rsidRDefault="0086610A">
      <w:pPr>
        <w:pStyle w:val="BodyText"/>
        <w:spacing w:before="94"/>
        <w:ind w:left="118" w:right="170"/>
        <w:jc w:val="both"/>
      </w:pPr>
      <w:r>
        <w:t>société américaine et du droit qui en régit la constitution et le fonctionnement</w:t>
      </w:r>
      <w:r>
        <w:rPr>
          <w:vertAlign w:val="superscript"/>
        </w:rPr>
        <w:t>2</w:t>
      </w:r>
      <w:r>
        <w:t>, le type de société de droit français auquel cette société était assimilable. Elle a relevé que les «</w:t>
      </w:r>
      <w:r>
        <w:rPr>
          <w:spacing w:val="-3"/>
        </w:rPr>
        <w:t xml:space="preserve"> </w:t>
      </w:r>
      <w:r>
        <w:t>Limited Liability Companies » constituaient une catégorie hybride de sociétés, empruntant leurs caractéristiques aux associations constituées sous la forme de la loi du 1</w:t>
      </w:r>
      <w:r>
        <w:rPr>
          <w:vertAlign w:val="superscript"/>
        </w:rPr>
        <w:t>er</w:t>
      </w:r>
      <w:r>
        <w:t xml:space="preserve"> juillet 1901 et aux sociétés commerciales et a estimé qu’elles ne pouvaient être assimilées à des SARL françaises</w:t>
      </w:r>
      <w:r>
        <w:rPr>
          <w:vertAlign w:val="superscript"/>
        </w:rPr>
        <w:t>3</w:t>
      </w:r>
      <w:r>
        <w:t xml:space="preserve">. Elle en a déduit qu’elles n’étaient pas assujetties à l’IS du seul fait de leur forme sociale. Ces motifs ne sont questionnés par aucune des parties (seul le ministre aurait en l’espèce un intérêt à le faire) et la question ne nous semble pas d’ordre public : il s’agit d’une question de fait et non de droit, le juge fiscal regardant les règles de droit étranger applicables à une société comme un élément de fait, permettant de faire entrer ladite société dans une des catégories juridiques du droit français (cf. décision </w:t>
      </w:r>
      <w:r>
        <w:rPr>
          <w:i/>
        </w:rPr>
        <w:t xml:space="preserve">Sté Artémis </w:t>
      </w:r>
      <w:r>
        <w:t xml:space="preserve">et les conclusions d’E. Cortot- </w:t>
      </w:r>
      <w:r>
        <w:rPr>
          <w:spacing w:val="-2"/>
        </w:rPr>
        <w:t>Boucher).</w:t>
      </w:r>
    </w:p>
    <w:p w:rsidR="0086610A" w:rsidRDefault="0086610A">
      <w:pPr>
        <w:pStyle w:val="BodyText"/>
        <w:spacing w:before="1"/>
      </w:pPr>
    </w:p>
    <w:p w:rsidR="0086610A" w:rsidRDefault="0086610A">
      <w:pPr>
        <w:pStyle w:val="BodyText"/>
        <w:ind w:left="118" w:right="174" w:firstLine="540"/>
        <w:jc w:val="both"/>
      </w:pPr>
      <w:r>
        <w:t>S’agissant du second critère d’assujettissement à l’IS, tiré du caractère lucratif de l’exploitation, la cour a relevé que l’objet social de la société était de nature commerciale, dès lors qu’il incluait notamment la location de biens immobiliers ainsi que l’achat et la revente</w:t>
      </w:r>
      <w:r>
        <w:rPr>
          <w:spacing w:val="40"/>
        </w:rPr>
        <w:t xml:space="preserve"> </w:t>
      </w:r>
      <w:r>
        <w:t>de tels biens et a jugé que, dans ces circonstances, la mise à disposition de biens immobiliers lui appartenant au profit des parents de son dirigeant ainsi que de tiers, alors même que cette dernière</w:t>
      </w:r>
      <w:r>
        <w:rPr>
          <w:spacing w:val="-1"/>
        </w:rPr>
        <w:t xml:space="preserve"> </w:t>
      </w:r>
      <w:r>
        <w:t>mise</w:t>
      </w:r>
      <w:r>
        <w:rPr>
          <w:spacing w:val="-1"/>
        </w:rPr>
        <w:t xml:space="preserve"> </w:t>
      </w:r>
      <w:r>
        <w:t>à</w:t>
      </w:r>
      <w:r>
        <w:rPr>
          <w:spacing w:val="-1"/>
        </w:rPr>
        <w:t xml:space="preserve"> </w:t>
      </w:r>
      <w:r>
        <w:t>disposition était le</w:t>
      </w:r>
      <w:r>
        <w:rPr>
          <w:spacing w:val="-1"/>
        </w:rPr>
        <w:t xml:space="preserve"> </w:t>
      </w:r>
      <w:r>
        <w:t>fait des parents du dirigeant et non de</w:t>
      </w:r>
      <w:r>
        <w:rPr>
          <w:spacing w:val="-1"/>
        </w:rPr>
        <w:t xml:space="preserve"> </w:t>
      </w:r>
      <w:r>
        <w:t>la</w:t>
      </w:r>
      <w:r>
        <w:rPr>
          <w:spacing w:val="-1"/>
        </w:rPr>
        <w:t xml:space="preserve"> </w:t>
      </w:r>
      <w:r>
        <w:t>société, devait être regardée comme une opération de caractère lucratif.</w:t>
      </w:r>
    </w:p>
    <w:p w:rsidR="0086610A" w:rsidRDefault="0086610A">
      <w:pPr>
        <w:pStyle w:val="BodyText"/>
      </w:pPr>
    </w:p>
    <w:p w:rsidR="0086610A" w:rsidRDefault="0086610A">
      <w:pPr>
        <w:spacing w:before="1"/>
        <w:ind w:left="118" w:right="112" w:firstLine="540"/>
        <w:jc w:val="both"/>
        <w:rPr>
          <w:sz w:val="24"/>
        </w:rPr>
      </w:pPr>
      <w:r>
        <w:rPr>
          <w:sz w:val="24"/>
        </w:rPr>
        <w:t>Lorsqu’une société, assujettie à l’IS en raison de sa forme, met gratuitement des immeubles qu’elle possède à la disposition de tiers, fût-ce ses associés, il s’agit d’une renonciation</w:t>
      </w:r>
      <w:r>
        <w:rPr>
          <w:spacing w:val="-1"/>
          <w:sz w:val="24"/>
        </w:rPr>
        <w:t xml:space="preserve"> </w:t>
      </w:r>
      <w:r>
        <w:rPr>
          <w:sz w:val="24"/>
        </w:rPr>
        <w:t>à</w:t>
      </w:r>
      <w:r>
        <w:rPr>
          <w:spacing w:val="-2"/>
          <w:sz w:val="24"/>
        </w:rPr>
        <w:t xml:space="preserve"> </w:t>
      </w:r>
      <w:r>
        <w:rPr>
          <w:sz w:val="24"/>
        </w:rPr>
        <w:t>recettes,</w:t>
      </w:r>
      <w:r>
        <w:rPr>
          <w:spacing w:val="-1"/>
          <w:sz w:val="24"/>
        </w:rPr>
        <w:t xml:space="preserve"> </w:t>
      </w:r>
      <w:r>
        <w:rPr>
          <w:sz w:val="24"/>
        </w:rPr>
        <w:t>susceptible</w:t>
      </w:r>
      <w:r>
        <w:rPr>
          <w:spacing w:val="-2"/>
          <w:sz w:val="24"/>
        </w:rPr>
        <w:t xml:space="preserve"> </w:t>
      </w:r>
      <w:r>
        <w:rPr>
          <w:sz w:val="24"/>
        </w:rPr>
        <w:t>d’être</w:t>
      </w:r>
      <w:r>
        <w:rPr>
          <w:spacing w:val="-3"/>
          <w:sz w:val="24"/>
        </w:rPr>
        <w:t xml:space="preserve"> </w:t>
      </w:r>
      <w:r>
        <w:rPr>
          <w:sz w:val="24"/>
        </w:rPr>
        <w:t>qualifiée</w:t>
      </w:r>
      <w:r>
        <w:rPr>
          <w:spacing w:val="-2"/>
          <w:sz w:val="24"/>
        </w:rPr>
        <w:t xml:space="preserve"> </w:t>
      </w:r>
      <w:r>
        <w:rPr>
          <w:sz w:val="24"/>
        </w:rPr>
        <w:t>d’acte anormal</w:t>
      </w:r>
      <w:r>
        <w:rPr>
          <w:spacing w:val="-1"/>
          <w:sz w:val="24"/>
        </w:rPr>
        <w:t xml:space="preserve"> </w:t>
      </w:r>
      <w:r>
        <w:rPr>
          <w:sz w:val="24"/>
        </w:rPr>
        <w:t>de gestion (CE,</w:t>
      </w:r>
      <w:r>
        <w:rPr>
          <w:spacing w:val="-1"/>
          <w:sz w:val="24"/>
        </w:rPr>
        <w:t xml:space="preserve"> </w:t>
      </w:r>
      <w:r>
        <w:rPr>
          <w:i/>
          <w:sz w:val="24"/>
        </w:rPr>
        <w:t>3</w:t>
      </w:r>
      <w:r>
        <w:rPr>
          <w:i/>
          <w:spacing w:val="-1"/>
          <w:sz w:val="24"/>
        </w:rPr>
        <w:t xml:space="preserve"> </w:t>
      </w:r>
      <w:r>
        <w:rPr>
          <w:i/>
          <w:sz w:val="24"/>
        </w:rPr>
        <w:t>mai</w:t>
      </w:r>
      <w:r>
        <w:rPr>
          <w:i/>
          <w:spacing w:val="-1"/>
          <w:sz w:val="24"/>
        </w:rPr>
        <w:t xml:space="preserve"> </w:t>
      </w:r>
      <w:r>
        <w:rPr>
          <w:i/>
          <w:sz w:val="24"/>
        </w:rPr>
        <w:t xml:space="preserve">1989, n° 78223, </w:t>
      </w:r>
      <w:r>
        <w:rPr>
          <w:b/>
          <w:i/>
          <w:sz w:val="24"/>
        </w:rPr>
        <w:t>SA Quadriga</w:t>
      </w:r>
      <w:r>
        <w:rPr>
          <w:sz w:val="24"/>
          <w:vertAlign w:val="superscript"/>
        </w:rPr>
        <w:t>4</w:t>
      </w:r>
      <w:r>
        <w:rPr>
          <w:sz w:val="24"/>
        </w:rPr>
        <w:t xml:space="preserve"> ; CE, </w:t>
      </w:r>
      <w:r>
        <w:rPr>
          <w:i/>
          <w:sz w:val="24"/>
        </w:rPr>
        <w:t xml:space="preserve">22 juillet 2022, n° 444942, </w:t>
      </w:r>
      <w:r>
        <w:rPr>
          <w:b/>
          <w:i/>
          <w:sz w:val="24"/>
        </w:rPr>
        <w:t>Sté Phoenix Union Co</w:t>
      </w:r>
      <w:r>
        <w:rPr>
          <w:sz w:val="24"/>
          <w:vertAlign w:val="superscript"/>
        </w:rPr>
        <w:t>5</w:t>
      </w:r>
      <w:r>
        <w:rPr>
          <w:sz w:val="24"/>
        </w:rPr>
        <w:t>).</w:t>
      </w:r>
    </w:p>
    <w:p w:rsidR="0086610A" w:rsidRDefault="0086610A">
      <w:pPr>
        <w:pStyle w:val="BodyText"/>
      </w:pPr>
    </w:p>
    <w:p w:rsidR="0086610A" w:rsidRDefault="0086610A">
      <w:pPr>
        <w:pStyle w:val="BodyText"/>
        <w:ind w:left="118" w:right="173" w:firstLine="540"/>
        <w:jc w:val="both"/>
      </w:pPr>
      <w:r>
        <w:t>Lorsque la société n’est pas assujettie à l’IS par sa forme, la jurisprudence en matière d’occupation à titre gratuit d’un bien immobilier est plutôt casuistique</w:t>
      </w:r>
      <w:r>
        <w:rPr>
          <w:spacing w:val="-3"/>
        </w:rPr>
        <w:t xml:space="preserve"> </w:t>
      </w:r>
      <w:r>
        <w:t xml:space="preserve">; la jurisprudence du Conseil d’Etat n’est pas très fournie et les cours administratives d’appel ont des positions qui ne concordent pas entièrement. Comme le relevait Y. Bénard dans les conclusions sur la décision du </w:t>
      </w:r>
      <w:r>
        <w:rPr>
          <w:i/>
        </w:rPr>
        <w:t>16 mai 2018, n°</w:t>
      </w:r>
      <w:r>
        <w:rPr>
          <w:i/>
          <w:spacing w:val="-1"/>
        </w:rPr>
        <w:t xml:space="preserve"> </w:t>
      </w:r>
      <w:r>
        <w:rPr>
          <w:b/>
          <w:i/>
        </w:rPr>
        <w:t>398055</w:t>
      </w:r>
      <w:r>
        <w:rPr>
          <w:i/>
        </w:rPr>
        <w:t>, Sté World Investment Corporation</w:t>
      </w:r>
      <w:r>
        <w:rPr>
          <w:vertAlign w:val="superscript"/>
        </w:rPr>
        <w:t>6</w:t>
      </w:r>
      <w:r>
        <w:t xml:space="preserve">, il est notamment tenu compte de l’objet social de la société et de l’identité des bénéficiaires de la mise à disposition gratuite. Un objet social lucratif crée une présomption que l’activité est lucrative mais celle-ci peut être remise en cause s’il apparaît que la mise à disposition du bien n’est pas motivée par la recherche d’un profit indirect, ce qui est </w:t>
      </w:r>
      <w:r>
        <w:rPr>
          <w:i/>
        </w:rPr>
        <w:t xml:space="preserve">a priori </w:t>
      </w:r>
      <w:r>
        <w:t>le cas lorsqu’elle procède d’une logique interne à l’entreprise (salariés, associés, dirigeants) ou d’une logique familiale.</w:t>
      </w:r>
    </w:p>
    <w:p w:rsidR="0086610A" w:rsidRDefault="0086610A">
      <w:pPr>
        <w:spacing w:before="274"/>
        <w:ind w:left="118" w:right="123" w:firstLine="540"/>
        <w:jc w:val="both"/>
        <w:rPr>
          <w:sz w:val="24"/>
        </w:rPr>
      </w:pPr>
      <w:r>
        <w:rPr>
          <w:sz w:val="24"/>
        </w:rPr>
        <w:t xml:space="preserve">Ainsi, un </w:t>
      </w:r>
      <w:r>
        <w:rPr>
          <w:i/>
          <w:sz w:val="24"/>
        </w:rPr>
        <w:t xml:space="preserve">Anstalt </w:t>
      </w:r>
      <w:r>
        <w:rPr>
          <w:sz w:val="24"/>
        </w:rPr>
        <w:t>du Liechtenstein dont l’objet social est lucratif et qui met un immeuble situé</w:t>
      </w:r>
      <w:r>
        <w:rPr>
          <w:spacing w:val="-1"/>
          <w:sz w:val="24"/>
        </w:rPr>
        <w:t xml:space="preserve"> </w:t>
      </w:r>
      <w:r>
        <w:rPr>
          <w:sz w:val="24"/>
        </w:rPr>
        <w:t>en France à</w:t>
      </w:r>
      <w:r>
        <w:rPr>
          <w:spacing w:val="-1"/>
          <w:sz w:val="24"/>
        </w:rPr>
        <w:t xml:space="preserve"> </w:t>
      </w:r>
      <w:r>
        <w:rPr>
          <w:sz w:val="24"/>
        </w:rPr>
        <w:t>la</w:t>
      </w:r>
      <w:r>
        <w:rPr>
          <w:spacing w:val="-1"/>
          <w:sz w:val="24"/>
        </w:rPr>
        <w:t xml:space="preserve"> </w:t>
      </w:r>
      <w:r>
        <w:rPr>
          <w:sz w:val="24"/>
        </w:rPr>
        <w:t>disposition gratuite</w:t>
      </w:r>
      <w:r>
        <w:rPr>
          <w:spacing w:val="-1"/>
          <w:sz w:val="24"/>
        </w:rPr>
        <w:t xml:space="preserve"> </w:t>
      </w:r>
      <w:r>
        <w:rPr>
          <w:sz w:val="24"/>
        </w:rPr>
        <w:t>de</w:t>
      </w:r>
      <w:r>
        <w:rPr>
          <w:spacing w:val="-1"/>
          <w:sz w:val="24"/>
        </w:rPr>
        <w:t xml:space="preserve"> </w:t>
      </w:r>
      <w:r>
        <w:rPr>
          <w:sz w:val="24"/>
        </w:rPr>
        <w:t>tiers est réputé</w:t>
      </w:r>
      <w:r>
        <w:rPr>
          <w:spacing w:val="-1"/>
          <w:sz w:val="24"/>
        </w:rPr>
        <w:t xml:space="preserve"> </w:t>
      </w:r>
      <w:r>
        <w:rPr>
          <w:sz w:val="24"/>
        </w:rPr>
        <w:t>se</w:t>
      </w:r>
      <w:r>
        <w:rPr>
          <w:spacing w:val="-1"/>
          <w:sz w:val="24"/>
        </w:rPr>
        <w:t xml:space="preserve"> </w:t>
      </w:r>
      <w:r>
        <w:rPr>
          <w:sz w:val="24"/>
        </w:rPr>
        <w:t>livrer</w:t>
      </w:r>
      <w:r>
        <w:rPr>
          <w:spacing w:val="-1"/>
          <w:sz w:val="24"/>
        </w:rPr>
        <w:t xml:space="preserve"> </w:t>
      </w:r>
      <w:r>
        <w:rPr>
          <w:sz w:val="24"/>
        </w:rPr>
        <w:t>à</w:t>
      </w:r>
      <w:r>
        <w:rPr>
          <w:spacing w:val="-1"/>
          <w:sz w:val="24"/>
        </w:rPr>
        <w:t xml:space="preserve"> </w:t>
      </w:r>
      <w:r>
        <w:rPr>
          <w:sz w:val="24"/>
        </w:rPr>
        <w:t>une activité</w:t>
      </w:r>
      <w:r>
        <w:rPr>
          <w:spacing w:val="-1"/>
          <w:sz w:val="24"/>
        </w:rPr>
        <w:t xml:space="preserve"> </w:t>
      </w:r>
      <w:r>
        <w:rPr>
          <w:sz w:val="24"/>
        </w:rPr>
        <w:t>lucrative</w:t>
      </w:r>
      <w:r>
        <w:rPr>
          <w:spacing w:val="-1"/>
          <w:sz w:val="24"/>
        </w:rPr>
        <w:t xml:space="preserve"> </w:t>
      </w:r>
      <w:r>
        <w:rPr>
          <w:sz w:val="24"/>
        </w:rPr>
        <w:t xml:space="preserve">(CE, </w:t>
      </w:r>
      <w:r>
        <w:rPr>
          <w:i/>
          <w:sz w:val="24"/>
        </w:rPr>
        <w:t>26</w:t>
      </w:r>
      <w:r>
        <w:rPr>
          <w:i/>
          <w:spacing w:val="40"/>
          <w:sz w:val="24"/>
        </w:rPr>
        <w:t xml:space="preserve"> </w:t>
      </w:r>
      <w:r>
        <w:rPr>
          <w:i/>
          <w:sz w:val="24"/>
        </w:rPr>
        <w:t>janvier</w:t>
      </w:r>
      <w:r>
        <w:rPr>
          <w:i/>
          <w:spacing w:val="40"/>
          <w:sz w:val="24"/>
        </w:rPr>
        <w:t xml:space="preserve"> </w:t>
      </w:r>
      <w:r>
        <w:rPr>
          <w:i/>
          <w:sz w:val="24"/>
        </w:rPr>
        <w:t>1990,</w:t>
      </w:r>
      <w:r>
        <w:rPr>
          <w:i/>
          <w:spacing w:val="40"/>
          <w:sz w:val="24"/>
        </w:rPr>
        <w:t xml:space="preserve"> </w:t>
      </w:r>
      <w:r>
        <w:rPr>
          <w:i/>
          <w:sz w:val="24"/>
        </w:rPr>
        <w:t>n°</w:t>
      </w:r>
      <w:r>
        <w:rPr>
          <w:i/>
          <w:spacing w:val="40"/>
          <w:sz w:val="24"/>
        </w:rPr>
        <w:t xml:space="preserve"> </w:t>
      </w:r>
      <w:r>
        <w:rPr>
          <w:b/>
          <w:i/>
          <w:sz w:val="24"/>
        </w:rPr>
        <w:t>64211</w:t>
      </w:r>
      <w:r>
        <w:rPr>
          <w:i/>
          <w:sz w:val="24"/>
        </w:rPr>
        <w:t>,</w:t>
      </w:r>
      <w:r>
        <w:rPr>
          <w:i/>
          <w:spacing w:val="40"/>
          <w:sz w:val="24"/>
        </w:rPr>
        <w:t xml:space="preserve"> </w:t>
      </w:r>
      <w:r>
        <w:rPr>
          <w:i/>
          <w:sz w:val="24"/>
        </w:rPr>
        <w:t>min.</w:t>
      </w:r>
      <w:r>
        <w:rPr>
          <w:i/>
          <w:spacing w:val="40"/>
          <w:sz w:val="24"/>
        </w:rPr>
        <w:t xml:space="preserve"> </w:t>
      </w:r>
      <w:r>
        <w:rPr>
          <w:i/>
          <w:sz w:val="24"/>
        </w:rPr>
        <w:t>c/</w:t>
      </w:r>
      <w:r>
        <w:rPr>
          <w:i/>
          <w:spacing w:val="40"/>
          <w:sz w:val="24"/>
        </w:rPr>
        <w:t xml:space="preserve"> </w:t>
      </w:r>
      <w:r>
        <w:rPr>
          <w:i/>
          <w:sz w:val="24"/>
        </w:rPr>
        <w:t>Fondation</w:t>
      </w:r>
      <w:r>
        <w:rPr>
          <w:i/>
          <w:spacing w:val="40"/>
          <w:sz w:val="24"/>
        </w:rPr>
        <w:t xml:space="preserve"> </w:t>
      </w:r>
      <w:r>
        <w:rPr>
          <w:i/>
          <w:sz w:val="24"/>
        </w:rPr>
        <w:t>"Arts</w:t>
      </w:r>
      <w:r>
        <w:rPr>
          <w:i/>
          <w:spacing w:val="40"/>
          <w:sz w:val="24"/>
        </w:rPr>
        <w:t xml:space="preserve"> </w:t>
      </w:r>
      <w:r>
        <w:rPr>
          <w:i/>
          <w:sz w:val="24"/>
        </w:rPr>
        <w:t>et</w:t>
      </w:r>
      <w:r>
        <w:rPr>
          <w:i/>
          <w:spacing w:val="40"/>
          <w:sz w:val="24"/>
        </w:rPr>
        <w:t xml:space="preserve"> </w:t>
      </w:r>
      <w:r>
        <w:rPr>
          <w:i/>
          <w:sz w:val="24"/>
        </w:rPr>
        <w:t>Industries"</w:t>
      </w:r>
      <w:r>
        <w:rPr>
          <w:sz w:val="24"/>
          <w:vertAlign w:val="superscript"/>
        </w:rPr>
        <w:t>7</w:t>
      </w:r>
      <w:r>
        <w:rPr>
          <w:spacing w:val="11"/>
          <w:sz w:val="24"/>
        </w:rPr>
        <w:t xml:space="preserve"> </w:t>
      </w:r>
      <w:r>
        <w:rPr>
          <w:sz w:val="24"/>
        </w:rPr>
        <w:t>;</w:t>
      </w:r>
      <w:r>
        <w:rPr>
          <w:spacing w:val="40"/>
          <w:sz w:val="24"/>
        </w:rPr>
        <w:t xml:space="preserve"> </w:t>
      </w:r>
      <w:r>
        <w:rPr>
          <w:sz w:val="24"/>
        </w:rPr>
        <w:t>voir</w:t>
      </w:r>
      <w:r>
        <w:rPr>
          <w:spacing w:val="40"/>
          <w:sz w:val="24"/>
        </w:rPr>
        <w:t xml:space="preserve"> </w:t>
      </w:r>
      <w:r>
        <w:rPr>
          <w:sz w:val="24"/>
        </w:rPr>
        <w:t>aussi,</w:t>
      </w:r>
      <w:r>
        <w:rPr>
          <w:spacing w:val="40"/>
          <w:sz w:val="24"/>
        </w:rPr>
        <w:t xml:space="preserve"> </w:t>
      </w:r>
      <w:r>
        <w:rPr>
          <w:sz w:val="24"/>
        </w:rPr>
        <w:t>pour</w:t>
      </w:r>
      <w:r>
        <w:rPr>
          <w:spacing w:val="40"/>
          <w:sz w:val="24"/>
        </w:rPr>
        <w:t xml:space="preserve"> </w:t>
      </w:r>
      <w:r>
        <w:rPr>
          <w:sz w:val="24"/>
        </w:rPr>
        <w:t>une</w:t>
      </w:r>
    </w:p>
    <w:p w:rsidR="0086610A" w:rsidRDefault="0086610A">
      <w:pPr>
        <w:pStyle w:val="BodyText"/>
        <w:spacing w:before="119"/>
        <w:rPr>
          <w:sz w:val="20"/>
        </w:rPr>
      </w:pPr>
      <w:r>
        <w:rPr>
          <w:noProof/>
          <w:lang w:eastAsia="fr-FR"/>
        </w:rPr>
        <w:pict>
          <v:rect id="docshape3" o:spid="_x0000_s1028" style="position:absolute;margin-left:70.95pt;margin-top:18.7pt;width:2in;height:.6pt;z-index:-251657216;mso-wrap-distance-left:0;mso-wrap-distance-right:0;mso-position-horizontal-relative:page" fillcolor="black" stroked="f">
            <w10:wrap type="topAndBottom" anchorx="page"/>
          </v:rect>
        </w:pict>
      </w:r>
    </w:p>
    <w:p w:rsidR="0086610A" w:rsidRDefault="0086610A">
      <w:pPr>
        <w:spacing w:before="103"/>
        <w:ind w:left="118" w:right="174"/>
        <w:jc w:val="both"/>
        <w:rPr>
          <w:sz w:val="20"/>
        </w:rPr>
      </w:pPr>
      <w:r>
        <w:rPr>
          <w:sz w:val="20"/>
          <w:vertAlign w:val="superscript"/>
        </w:rPr>
        <w:t>2</w:t>
      </w:r>
      <w:r>
        <w:rPr>
          <w:spacing w:val="-2"/>
          <w:sz w:val="20"/>
        </w:rPr>
        <w:t xml:space="preserve"> </w:t>
      </w:r>
      <w:r>
        <w:rPr>
          <w:sz w:val="20"/>
        </w:rPr>
        <w:t>Le</w:t>
      </w:r>
      <w:r>
        <w:rPr>
          <w:spacing w:val="-2"/>
          <w:sz w:val="20"/>
        </w:rPr>
        <w:t xml:space="preserve"> </w:t>
      </w:r>
      <w:r>
        <w:rPr>
          <w:sz w:val="20"/>
        </w:rPr>
        <w:t>régime fiscal</w:t>
      </w:r>
      <w:r>
        <w:rPr>
          <w:spacing w:val="-3"/>
          <w:sz w:val="20"/>
        </w:rPr>
        <w:t xml:space="preserve"> </w:t>
      </w:r>
      <w:r>
        <w:rPr>
          <w:sz w:val="20"/>
        </w:rPr>
        <w:t>applicable</w:t>
      </w:r>
      <w:r>
        <w:rPr>
          <w:spacing w:val="-2"/>
          <w:sz w:val="20"/>
        </w:rPr>
        <w:t xml:space="preserve"> </w:t>
      </w:r>
      <w:r>
        <w:rPr>
          <w:sz w:val="20"/>
        </w:rPr>
        <w:t>à</w:t>
      </w:r>
      <w:r>
        <w:rPr>
          <w:spacing w:val="-2"/>
          <w:sz w:val="20"/>
        </w:rPr>
        <w:t xml:space="preserve"> </w:t>
      </w:r>
      <w:r>
        <w:rPr>
          <w:sz w:val="20"/>
        </w:rPr>
        <w:t>la</w:t>
      </w:r>
      <w:r>
        <w:rPr>
          <w:spacing w:val="-2"/>
          <w:sz w:val="20"/>
        </w:rPr>
        <w:t xml:space="preserve"> </w:t>
      </w:r>
      <w:r>
        <w:rPr>
          <w:sz w:val="20"/>
        </w:rPr>
        <w:t>société</w:t>
      </w:r>
      <w:r>
        <w:rPr>
          <w:spacing w:val="-2"/>
          <w:sz w:val="20"/>
        </w:rPr>
        <w:t xml:space="preserve"> </w:t>
      </w:r>
      <w:r>
        <w:rPr>
          <w:sz w:val="20"/>
        </w:rPr>
        <w:t>dans</w:t>
      </w:r>
      <w:r>
        <w:rPr>
          <w:spacing w:val="-3"/>
          <w:sz w:val="20"/>
        </w:rPr>
        <w:t xml:space="preserve"> </w:t>
      </w:r>
      <w:r>
        <w:rPr>
          <w:sz w:val="20"/>
        </w:rPr>
        <w:t>le</w:t>
      </w:r>
      <w:r>
        <w:rPr>
          <w:spacing w:val="-2"/>
          <w:sz w:val="20"/>
        </w:rPr>
        <w:t xml:space="preserve"> </w:t>
      </w:r>
      <w:r>
        <w:rPr>
          <w:sz w:val="20"/>
        </w:rPr>
        <w:t>pays</w:t>
      </w:r>
      <w:r>
        <w:rPr>
          <w:spacing w:val="-3"/>
          <w:sz w:val="20"/>
        </w:rPr>
        <w:t xml:space="preserve"> </w:t>
      </w:r>
      <w:r>
        <w:rPr>
          <w:sz w:val="20"/>
        </w:rPr>
        <w:t>dont</w:t>
      </w:r>
      <w:r>
        <w:rPr>
          <w:spacing w:val="-3"/>
          <w:sz w:val="20"/>
        </w:rPr>
        <w:t xml:space="preserve"> </w:t>
      </w:r>
      <w:r>
        <w:rPr>
          <w:sz w:val="20"/>
        </w:rPr>
        <w:t>elle</w:t>
      </w:r>
      <w:r>
        <w:rPr>
          <w:spacing w:val="-2"/>
          <w:sz w:val="20"/>
        </w:rPr>
        <w:t xml:space="preserve"> </w:t>
      </w:r>
      <w:r>
        <w:rPr>
          <w:sz w:val="20"/>
        </w:rPr>
        <w:t>relève</w:t>
      </w:r>
      <w:r>
        <w:rPr>
          <w:spacing w:val="-2"/>
          <w:sz w:val="20"/>
        </w:rPr>
        <w:t xml:space="preserve"> </w:t>
      </w:r>
      <w:r>
        <w:rPr>
          <w:sz w:val="20"/>
        </w:rPr>
        <w:t>est</w:t>
      </w:r>
      <w:r>
        <w:rPr>
          <w:spacing w:val="-3"/>
          <w:sz w:val="20"/>
        </w:rPr>
        <w:t xml:space="preserve"> </w:t>
      </w:r>
      <w:r>
        <w:rPr>
          <w:sz w:val="20"/>
        </w:rPr>
        <w:t>en</w:t>
      </w:r>
      <w:r>
        <w:rPr>
          <w:spacing w:val="-3"/>
          <w:sz w:val="20"/>
        </w:rPr>
        <w:t xml:space="preserve"> </w:t>
      </w:r>
      <w:r>
        <w:rPr>
          <w:sz w:val="20"/>
        </w:rPr>
        <w:t>revanche</w:t>
      </w:r>
      <w:r>
        <w:rPr>
          <w:spacing w:val="-2"/>
          <w:sz w:val="20"/>
        </w:rPr>
        <w:t xml:space="preserve"> </w:t>
      </w:r>
      <w:r>
        <w:rPr>
          <w:sz w:val="20"/>
        </w:rPr>
        <w:t>sans</w:t>
      </w:r>
      <w:r>
        <w:rPr>
          <w:spacing w:val="-3"/>
          <w:sz w:val="20"/>
        </w:rPr>
        <w:t xml:space="preserve"> </w:t>
      </w:r>
      <w:r>
        <w:rPr>
          <w:sz w:val="20"/>
        </w:rPr>
        <w:t>incidence</w:t>
      </w:r>
      <w:r>
        <w:rPr>
          <w:spacing w:val="-2"/>
          <w:sz w:val="20"/>
        </w:rPr>
        <w:t xml:space="preserve"> </w:t>
      </w:r>
      <w:r>
        <w:rPr>
          <w:sz w:val="20"/>
        </w:rPr>
        <w:t xml:space="preserve">(CE, </w:t>
      </w:r>
      <w:r>
        <w:rPr>
          <w:i/>
          <w:sz w:val="20"/>
        </w:rPr>
        <w:t>27</w:t>
      </w:r>
      <w:r>
        <w:rPr>
          <w:i/>
          <w:spacing w:val="-1"/>
          <w:sz w:val="20"/>
        </w:rPr>
        <w:t xml:space="preserve"> </w:t>
      </w:r>
      <w:r>
        <w:rPr>
          <w:i/>
          <w:sz w:val="20"/>
        </w:rPr>
        <w:t>juin 2016,</w:t>
      </w:r>
      <w:r>
        <w:rPr>
          <w:i/>
          <w:spacing w:val="-1"/>
          <w:sz w:val="20"/>
        </w:rPr>
        <w:t xml:space="preserve"> </w:t>
      </w:r>
      <w:r>
        <w:rPr>
          <w:i/>
          <w:sz w:val="20"/>
        </w:rPr>
        <w:t xml:space="preserve">n° </w:t>
      </w:r>
      <w:r>
        <w:rPr>
          <w:b/>
          <w:i/>
          <w:sz w:val="20"/>
        </w:rPr>
        <w:t>386842</w:t>
      </w:r>
      <w:r>
        <w:rPr>
          <w:i/>
          <w:sz w:val="20"/>
        </w:rPr>
        <w:t>, Sté Emerald Shores LLC</w:t>
      </w:r>
      <w:r>
        <w:rPr>
          <w:sz w:val="20"/>
        </w:rPr>
        <w:t>, RJF 11/16 n° 943), de même que le caractère civil ou commercial de son</w:t>
      </w:r>
      <w:r>
        <w:rPr>
          <w:spacing w:val="30"/>
          <w:sz w:val="20"/>
        </w:rPr>
        <w:t xml:space="preserve"> </w:t>
      </w:r>
      <w:r>
        <w:rPr>
          <w:sz w:val="20"/>
        </w:rPr>
        <w:t>objet</w:t>
      </w:r>
      <w:r>
        <w:rPr>
          <w:spacing w:val="32"/>
          <w:sz w:val="20"/>
        </w:rPr>
        <w:t xml:space="preserve"> </w:t>
      </w:r>
      <w:r>
        <w:rPr>
          <w:sz w:val="20"/>
        </w:rPr>
        <w:t>(cl.</w:t>
      </w:r>
      <w:r>
        <w:rPr>
          <w:spacing w:val="32"/>
          <w:sz w:val="20"/>
        </w:rPr>
        <w:t xml:space="preserve"> </w:t>
      </w:r>
      <w:r>
        <w:rPr>
          <w:sz w:val="20"/>
        </w:rPr>
        <w:t>C.</w:t>
      </w:r>
      <w:r>
        <w:rPr>
          <w:spacing w:val="32"/>
          <w:sz w:val="20"/>
        </w:rPr>
        <w:t xml:space="preserve"> </w:t>
      </w:r>
      <w:r>
        <w:rPr>
          <w:sz w:val="20"/>
        </w:rPr>
        <w:t>Guibé,</w:t>
      </w:r>
      <w:r>
        <w:rPr>
          <w:spacing w:val="32"/>
          <w:sz w:val="20"/>
        </w:rPr>
        <w:t xml:space="preserve"> </w:t>
      </w:r>
      <w:r>
        <w:rPr>
          <w:sz w:val="20"/>
        </w:rPr>
        <w:t>CE,</w:t>
      </w:r>
      <w:r>
        <w:rPr>
          <w:spacing w:val="35"/>
          <w:sz w:val="20"/>
        </w:rPr>
        <w:t xml:space="preserve"> </w:t>
      </w:r>
      <w:r>
        <w:rPr>
          <w:i/>
          <w:sz w:val="20"/>
        </w:rPr>
        <w:t>2</w:t>
      </w:r>
      <w:r>
        <w:rPr>
          <w:i/>
          <w:spacing w:val="32"/>
          <w:sz w:val="20"/>
        </w:rPr>
        <w:t xml:space="preserve"> </w:t>
      </w:r>
      <w:r>
        <w:rPr>
          <w:i/>
          <w:sz w:val="20"/>
        </w:rPr>
        <w:t>avril</w:t>
      </w:r>
      <w:r>
        <w:rPr>
          <w:i/>
          <w:spacing w:val="31"/>
          <w:sz w:val="20"/>
        </w:rPr>
        <w:t xml:space="preserve"> </w:t>
      </w:r>
      <w:r>
        <w:rPr>
          <w:i/>
          <w:sz w:val="20"/>
        </w:rPr>
        <w:t>2021,</w:t>
      </w:r>
      <w:r>
        <w:rPr>
          <w:i/>
          <w:spacing w:val="29"/>
          <w:sz w:val="20"/>
        </w:rPr>
        <w:t xml:space="preserve"> </w:t>
      </w:r>
      <w:r>
        <w:rPr>
          <w:i/>
          <w:sz w:val="20"/>
        </w:rPr>
        <w:t>n°</w:t>
      </w:r>
      <w:r>
        <w:rPr>
          <w:i/>
          <w:spacing w:val="31"/>
          <w:sz w:val="20"/>
        </w:rPr>
        <w:t xml:space="preserve"> </w:t>
      </w:r>
      <w:r>
        <w:rPr>
          <w:i/>
          <w:sz w:val="20"/>
        </w:rPr>
        <w:t>427880,</w:t>
      </w:r>
      <w:r>
        <w:rPr>
          <w:i/>
          <w:spacing w:val="32"/>
          <w:sz w:val="20"/>
        </w:rPr>
        <w:t xml:space="preserve"> </w:t>
      </w:r>
      <w:r>
        <w:rPr>
          <w:i/>
          <w:sz w:val="20"/>
        </w:rPr>
        <w:t>min.</w:t>
      </w:r>
      <w:r>
        <w:rPr>
          <w:i/>
          <w:spacing w:val="32"/>
          <w:sz w:val="20"/>
        </w:rPr>
        <w:t xml:space="preserve"> </w:t>
      </w:r>
      <w:r>
        <w:rPr>
          <w:i/>
          <w:sz w:val="20"/>
        </w:rPr>
        <w:t>c/</w:t>
      </w:r>
      <w:r>
        <w:rPr>
          <w:i/>
          <w:spacing w:val="32"/>
          <w:sz w:val="20"/>
        </w:rPr>
        <w:t xml:space="preserve"> </w:t>
      </w:r>
      <w:r>
        <w:rPr>
          <w:i/>
          <w:sz w:val="20"/>
        </w:rPr>
        <w:t>Sté</w:t>
      </w:r>
      <w:r>
        <w:rPr>
          <w:i/>
          <w:spacing w:val="32"/>
          <w:sz w:val="20"/>
        </w:rPr>
        <w:t xml:space="preserve"> </w:t>
      </w:r>
      <w:r>
        <w:rPr>
          <w:i/>
          <w:sz w:val="20"/>
        </w:rPr>
        <w:t>World</w:t>
      </w:r>
      <w:r>
        <w:rPr>
          <w:i/>
          <w:spacing w:val="32"/>
          <w:sz w:val="20"/>
        </w:rPr>
        <w:t xml:space="preserve"> </w:t>
      </w:r>
      <w:r>
        <w:rPr>
          <w:i/>
          <w:sz w:val="20"/>
        </w:rPr>
        <w:t>Investment</w:t>
      </w:r>
      <w:r>
        <w:rPr>
          <w:i/>
          <w:spacing w:val="34"/>
          <w:sz w:val="20"/>
        </w:rPr>
        <w:t xml:space="preserve"> </w:t>
      </w:r>
      <w:r>
        <w:rPr>
          <w:i/>
          <w:sz w:val="20"/>
        </w:rPr>
        <w:t>Corporation</w:t>
      </w:r>
      <w:r>
        <w:rPr>
          <w:sz w:val="20"/>
        </w:rPr>
        <w:t>,</w:t>
      </w:r>
      <w:r>
        <w:rPr>
          <w:spacing w:val="32"/>
          <w:sz w:val="20"/>
        </w:rPr>
        <w:t xml:space="preserve"> </w:t>
      </w:r>
      <w:r>
        <w:rPr>
          <w:sz w:val="20"/>
        </w:rPr>
        <w:t>RJF</w:t>
      </w:r>
      <w:r>
        <w:rPr>
          <w:spacing w:val="31"/>
          <w:sz w:val="20"/>
        </w:rPr>
        <w:t xml:space="preserve"> </w:t>
      </w:r>
      <w:r>
        <w:rPr>
          <w:sz w:val="20"/>
        </w:rPr>
        <w:t>6/21 n° 597).</w:t>
      </w:r>
    </w:p>
    <w:p w:rsidR="0086610A" w:rsidRDefault="0086610A">
      <w:pPr>
        <w:spacing w:before="2"/>
        <w:ind w:left="118" w:right="174"/>
        <w:jc w:val="both"/>
        <w:rPr>
          <w:sz w:val="20"/>
        </w:rPr>
      </w:pPr>
      <w:r>
        <w:rPr>
          <w:sz w:val="20"/>
          <w:vertAlign w:val="superscript"/>
        </w:rPr>
        <w:t>3</w:t>
      </w:r>
      <w:r>
        <w:rPr>
          <w:spacing w:val="-2"/>
          <w:sz w:val="20"/>
        </w:rPr>
        <w:t xml:space="preserve"> </w:t>
      </w:r>
      <w:r>
        <w:rPr>
          <w:sz w:val="20"/>
        </w:rPr>
        <w:t xml:space="preserve">Voir, antérieurement, CAA Marseille, </w:t>
      </w:r>
      <w:r>
        <w:rPr>
          <w:i/>
          <w:sz w:val="20"/>
        </w:rPr>
        <w:t xml:space="preserve">2 février 2017, n° 16MA02619, min. c/ Sté Emerald Shores LCC </w:t>
      </w:r>
      <w:r>
        <w:rPr>
          <w:sz w:val="20"/>
        </w:rPr>
        <w:t>(RJF 5/17 n° 419). Le Conseil d’Etat ne s’est pas jamais prononcé sur ce point. Une autre cour administrative d’appel</w:t>
      </w:r>
      <w:r>
        <w:rPr>
          <w:spacing w:val="40"/>
          <w:sz w:val="20"/>
        </w:rPr>
        <w:t xml:space="preserve"> </w:t>
      </w:r>
      <w:r>
        <w:rPr>
          <w:sz w:val="20"/>
        </w:rPr>
        <w:t xml:space="preserve">a jugé qu’une LLC américaine était assimilable à une société de personnes au sens de l’article 8 du CGI (CAA Douai, </w:t>
      </w:r>
      <w:r>
        <w:rPr>
          <w:i/>
          <w:sz w:val="20"/>
        </w:rPr>
        <w:t>12 mai 2011, n° 09DA01666, Boujonnier</w:t>
      </w:r>
      <w:r>
        <w:rPr>
          <w:sz w:val="20"/>
        </w:rPr>
        <w:t>, RJF 10/11 n° 1064).</w:t>
      </w:r>
    </w:p>
    <w:p w:rsidR="0086610A" w:rsidRDefault="0086610A">
      <w:pPr>
        <w:spacing w:line="230" w:lineRule="exact"/>
        <w:ind w:left="118"/>
        <w:jc w:val="both"/>
        <w:rPr>
          <w:sz w:val="20"/>
        </w:rPr>
      </w:pPr>
      <w:r>
        <w:rPr>
          <w:sz w:val="20"/>
          <w:vertAlign w:val="superscript"/>
        </w:rPr>
        <w:t>4</w:t>
      </w:r>
      <w:r>
        <w:rPr>
          <w:spacing w:val="-3"/>
          <w:sz w:val="20"/>
        </w:rPr>
        <w:t xml:space="preserve"> </w:t>
      </w:r>
      <w:r>
        <w:rPr>
          <w:sz w:val="20"/>
        </w:rPr>
        <w:t>RJF</w:t>
      </w:r>
      <w:r>
        <w:rPr>
          <w:spacing w:val="-4"/>
          <w:sz w:val="20"/>
        </w:rPr>
        <w:t xml:space="preserve"> </w:t>
      </w:r>
      <w:r>
        <w:rPr>
          <w:sz w:val="20"/>
        </w:rPr>
        <w:t>6/89</w:t>
      </w:r>
      <w:r>
        <w:rPr>
          <w:spacing w:val="-2"/>
          <w:sz w:val="20"/>
        </w:rPr>
        <w:t xml:space="preserve"> </w:t>
      </w:r>
      <w:r>
        <w:rPr>
          <w:sz w:val="20"/>
        </w:rPr>
        <w:t>n°</w:t>
      </w:r>
      <w:r>
        <w:rPr>
          <w:spacing w:val="-3"/>
          <w:sz w:val="20"/>
        </w:rPr>
        <w:t xml:space="preserve"> </w:t>
      </w:r>
      <w:r>
        <w:rPr>
          <w:sz w:val="20"/>
        </w:rPr>
        <w:t>751,</w:t>
      </w:r>
      <w:r>
        <w:rPr>
          <w:spacing w:val="-3"/>
          <w:sz w:val="20"/>
        </w:rPr>
        <w:t xml:space="preserve"> </w:t>
      </w:r>
      <w:r>
        <w:rPr>
          <w:sz w:val="20"/>
        </w:rPr>
        <w:t>cl.</w:t>
      </w:r>
      <w:r>
        <w:rPr>
          <w:spacing w:val="-5"/>
          <w:sz w:val="20"/>
        </w:rPr>
        <w:t xml:space="preserve"> </w:t>
      </w:r>
      <w:r>
        <w:rPr>
          <w:sz w:val="20"/>
        </w:rPr>
        <w:t>O.</w:t>
      </w:r>
      <w:r>
        <w:rPr>
          <w:spacing w:val="-3"/>
          <w:sz w:val="20"/>
        </w:rPr>
        <w:t xml:space="preserve"> </w:t>
      </w:r>
      <w:r>
        <w:rPr>
          <w:sz w:val="20"/>
        </w:rPr>
        <w:t>Fouquet</w:t>
      </w:r>
      <w:r>
        <w:rPr>
          <w:spacing w:val="-2"/>
          <w:sz w:val="20"/>
        </w:rPr>
        <w:t xml:space="preserve"> </w:t>
      </w:r>
      <w:r>
        <w:rPr>
          <w:sz w:val="20"/>
        </w:rPr>
        <w:t>Dr.</w:t>
      </w:r>
      <w:r>
        <w:rPr>
          <w:spacing w:val="-3"/>
          <w:sz w:val="20"/>
        </w:rPr>
        <w:t xml:space="preserve"> </w:t>
      </w:r>
      <w:r>
        <w:rPr>
          <w:sz w:val="20"/>
        </w:rPr>
        <w:t>fisc.</w:t>
      </w:r>
      <w:r>
        <w:rPr>
          <w:spacing w:val="-2"/>
          <w:sz w:val="20"/>
        </w:rPr>
        <w:t xml:space="preserve"> </w:t>
      </w:r>
      <w:r>
        <w:rPr>
          <w:sz w:val="20"/>
        </w:rPr>
        <w:t>46-47/89</w:t>
      </w:r>
      <w:r>
        <w:rPr>
          <w:spacing w:val="-2"/>
          <w:sz w:val="20"/>
        </w:rPr>
        <w:t xml:space="preserve"> </w:t>
      </w:r>
      <w:r>
        <w:rPr>
          <w:sz w:val="20"/>
        </w:rPr>
        <w:t>c.</w:t>
      </w:r>
      <w:r>
        <w:rPr>
          <w:spacing w:val="-4"/>
          <w:sz w:val="20"/>
        </w:rPr>
        <w:t xml:space="preserve"> 2198.</w:t>
      </w:r>
    </w:p>
    <w:p w:rsidR="0086610A" w:rsidRDefault="0086610A">
      <w:pPr>
        <w:ind w:left="118"/>
        <w:jc w:val="both"/>
        <w:rPr>
          <w:sz w:val="20"/>
        </w:rPr>
      </w:pPr>
      <w:r>
        <w:rPr>
          <w:sz w:val="20"/>
          <w:vertAlign w:val="superscript"/>
        </w:rPr>
        <w:t>5</w:t>
      </w:r>
      <w:r>
        <w:rPr>
          <w:spacing w:val="-3"/>
          <w:sz w:val="20"/>
        </w:rPr>
        <w:t xml:space="preserve"> </w:t>
      </w:r>
      <w:r>
        <w:rPr>
          <w:sz w:val="20"/>
        </w:rPr>
        <w:t>Aux</w:t>
      </w:r>
      <w:r>
        <w:rPr>
          <w:spacing w:val="-4"/>
          <w:sz w:val="20"/>
        </w:rPr>
        <w:t xml:space="preserve"> </w:t>
      </w:r>
      <w:r>
        <w:rPr>
          <w:sz w:val="20"/>
        </w:rPr>
        <w:t>T.,</w:t>
      </w:r>
      <w:r>
        <w:rPr>
          <w:spacing w:val="-3"/>
          <w:sz w:val="20"/>
        </w:rPr>
        <w:t xml:space="preserve"> </w:t>
      </w:r>
      <w:r>
        <w:rPr>
          <w:sz w:val="20"/>
        </w:rPr>
        <w:t>RJF</w:t>
      </w:r>
      <w:r>
        <w:rPr>
          <w:spacing w:val="-4"/>
          <w:sz w:val="20"/>
        </w:rPr>
        <w:t xml:space="preserve"> </w:t>
      </w:r>
      <w:r>
        <w:rPr>
          <w:sz w:val="20"/>
        </w:rPr>
        <w:t>11/22</w:t>
      </w:r>
      <w:r>
        <w:rPr>
          <w:spacing w:val="-4"/>
          <w:sz w:val="20"/>
        </w:rPr>
        <w:t xml:space="preserve"> </w:t>
      </w:r>
      <w:r>
        <w:rPr>
          <w:sz w:val="20"/>
        </w:rPr>
        <w:t>n°</w:t>
      </w:r>
      <w:r>
        <w:rPr>
          <w:spacing w:val="-4"/>
          <w:sz w:val="20"/>
        </w:rPr>
        <w:t xml:space="preserve"> </w:t>
      </w:r>
      <w:r>
        <w:rPr>
          <w:sz w:val="20"/>
        </w:rPr>
        <w:t>934,</w:t>
      </w:r>
      <w:r>
        <w:rPr>
          <w:spacing w:val="-3"/>
          <w:sz w:val="20"/>
        </w:rPr>
        <w:t xml:space="preserve"> </w:t>
      </w:r>
      <w:r>
        <w:rPr>
          <w:sz w:val="20"/>
        </w:rPr>
        <w:t>cl.</w:t>
      </w:r>
      <w:r>
        <w:rPr>
          <w:spacing w:val="-5"/>
          <w:sz w:val="20"/>
        </w:rPr>
        <w:t xml:space="preserve"> </w:t>
      </w:r>
      <w:r>
        <w:rPr>
          <w:sz w:val="20"/>
        </w:rPr>
        <w:t>E.</w:t>
      </w:r>
      <w:r>
        <w:rPr>
          <w:spacing w:val="-3"/>
          <w:sz w:val="20"/>
        </w:rPr>
        <w:t xml:space="preserve"> </w:t>
      </w:r>
      <w:r>
        <w:rPr>
          <w:sz w:val="20"/>
        </w:rPr>
        <w:t>Bokdam-Tognetti</w:t>
      </w:r>
      <w:r>
        <w:rPr>
          <w:spacing w:val="-4"/>
          <w:sz w:val="20"/>
        </w:rPr>
        <w:t xml:space="preserve"> </w:t>
      </w:r>
      <w:r>
        <w:rPr>
          <w:sz w:val="20"/>
        </w:rPr>
        <w:t>au</w:t>
      </w:r>
      <w:r>
        <w:rPr>
          <w:spacing w:val="-2"/>
          <w:sz w:val="20"/>
        </w:rPr>
        <w:t xml:space="preserve"> </w:t>
      </w:r>
      <w:r>
        <w:rPr>
          <w:sz w:val="20"/>
        </w:rPr>
        <w:t>C</w:t>
      </w:r>
      <w:r>
        <w:rPr>
          <w:spacing w:val="-4"/>
          <w:sz w:val="20"/>
        </w:rPr>
        <w:t xml:space="preserve"> 934.</w:t>
      </w:r>
    </w:p>
    <w:p w:rsidR="0086610A" w:rsidRDefault="0086610A">
      <w:pPr>
        <w:spacing w:before="1" w:line="229" w:lineRule="exact"/>
        <w:ind w:left="118"/>
        <w:jc w:val="both"/>
        <w:rPr>
          <w:sz w:val="20"/>
        </w:rPr>
      </w:pPr>
      <w:r>
        <w:rPr>
          <w:sz w:val="20"/>
          <w:vertAlign w:val="superscript"/>
        </w:rPr>
        <w:t>6</w:t>
      </w:r>
      <w:r>
        <w:rPr>
          <w:spacing w:val="-3"/>
          <w:sz w:val="20"/>
        </w:rPr>
        <w:t xml:space="preserve"> </w:t>
      </w:r>
      <w:r>
        <w:rPr>
          <w:sz w:val="20"/>
        </w:rPr>
        <w:t>RJF</w:t>
      </w:r>
      <w:r>
        <w:rPr>
          <w:spacing w:val="-3"/>
          <w:sz w:val="20"/>
        </w:rPr>
        <w:t xml:space="preserve"> </w:t>
      </w:r>
      <w:r>
        <w:rPr>
          <w:sz w:val="20"/>
        </w:rPr>
        <w:t>8-9/18</w:t>
      </w:r>
      <w:r>
        <w:rPr>
          <w:spacing w:val="-2"/>
          <w:sz w:val="20"/>
        </w:rPr>
        <w:t xml:space="preserve"> </w:t>
      </w:r>
      <w:r>
        <w:rPr>
          <w:sz w:val="20"/>
        </w:rPr>
        <w:t>n°</w:t>
      </w:r>
      <w:r>
        <w:rPr>
          <w:spacing w:val="-3"/>
          <w:sz w:val="20"/>
        </w:rPr>
        <w:t xml:space="preserve"> </w:t>
      </w:r>
      <w:r>
        <w:rPr>
          <w:sz w:val="20"/>
        </w:rPr>
        <w:t>857,</w:t>
      </w:r>
      <w:r>
        <w:rPr>
          <w:spacing w:val="-2"/>
          <w:sz w:val="20"/>
        </w:rPr>
        <w:t xml:space="preserve"> </w:t>
      </w:r>
      <w:r>
        <w:rPr>
          <w:sz w:val="20"/>
        </w:rPr>
        <w:t>cl.</w:t>
      </w:r>
      <w:r>
        <w:rPr>
          <w:spacing w:val="-3"/>
          <w:sz w:val="20"/>
        </w:rPr>
        <w:t xml:space="preserve"> </w:t>
      </w:r>
      <w:r>
        <w:rPr>
          <w:sz w:val="20"/>
        </w:rPr>
        <w:t>Y.</w:t>
      </w:r>
      <w:r>
        <w:rPr>
          <w:spacing w:val="-4"/>
          <w:sz w:val="20"/>
        </w:rPr>
        <w:t xml:space="preserve"> </w:t>
      </w:r>
      <w:r>
        <w:rPr>
          <w:sz w:val="20"/>
        </w:rPr>
        <w:t>Bénard</w:t>
      </w:r>
      <w:r>
        <w:rPr>
          <w:spacing w:val="-1"/>
          <w:sz w:val="20"/>
        </w:rPr>
        <w:t xml:space="preserve"> </w:t>
      </w:r>
      <w:r>
        <w:rPr>
          <w:sz w:val="20"/>
        </w:rPr>
        <w:t>au</w:t>
      </w:r>
      <w:r>
        <w:rPr>
          <w:spacing w:val="-3"/>
          <w:sz w:val="20"/>
        </w:rPr>
        <w:t xml:space="preserve"> </w:t>
      </w:r>
      <w:r>
        <w:rPr>
          <w:sz w:val="20"/>
        </w:rPr>
        <w:t>C</w:t>
      </w:r>
      <w:r>
        <w:rPr>
          <w:spacing w:val="-4"/>
          <w:sz w:val="20"/>
        </w:rPr>
        <w:t xml:space="preserve"> 857.</w:t>
      </w:r>
    </w:p>
    <w:p w:rsidR="0086610A" w:rsidRDefault="0086610A">
      <w:pPr>
        <w:spacing w:line="229" w:lineRule="exact"/>
        <w:ind w:left="118"/>
        <w:jc w:val="both"/>
        <w:rPr>
          <w:sz w:val="20"/>
        </w:rPr>
      </w:pPr>
      <w:r>
        <w:rPr>
          <w:sz w:val="20"/>
          <w:vertAlign w:val="superscript"/>
        </w:rPr>
        <w:t>7</w:t>
      </w:r>
      <w:r>
        <w:rPr>
          <w:spacing w:val="-3"/>
          <w:sz w:val="20"/>
        </w:rPr>
        <w:t xml:space="preserve"> </w:t>
      </w:r>
      <w:r>
        <w:rPr>
          <w:sz w:val="20"/>
        </w:rPr>
        <w:t>RJF</w:t>
      </w:r>
      <w:r>
        <w:rPr>
          <w:spacing w:val="-4"/>
          <w:sz w:val="20"/>
        </w:rPr>
        <w:t xml:space="preserve"> </w:t>
      </w:r>
      <w:r>
        <w:rPr>
          <w:sz w:val="20"/>
        </w:rPr>
        <w:t>3/90</w:t>
      </w:r>
      <w:r>
        <w:rPr>
          <w:spacing w:val="-1"/>
          <w:sz w:val="20"/>
        </w:rPr>
        <w:t xml:space="preserve"> </w:t>
      </w:r>
      <w:r>
        <w:rPr>
          <w:sz w:val="20"/>
        </w:rPr>
        <w:t>n°</w:t>
      </w:r>
      <w:r>
        <w:rPr>
          <w:spacing w:val="-4"/>
          <w:sz w:val="20"/>
        </w:rPr>
        <w:t xml:space="preserve"> 264.</w:t>
      </w:r>
    </w:p>
    <w:p w:rsidR="0086610A" w:rsidRDefault="0086610A">
      <w:pPr>
        <w:spacing w:line="229" w:lineRule="exact"/>
        <w:jc w:val="both"/>
        <w:rPr>
          <w:sz w:val="20"/>
        </w:rPr>
        <w:sectPr w:rsidR="0086610A">
          <w:footerReference w:type="default" r:id="rId7"/>
          <w:pgSz w:w="11910" w:h="16840"/>
          <w:pgMar w:top="1300" w:right="1240" w:bottom="1040" w:left="1300" w:header="0" w:footer="858" w:gutter="0"/>
          <w:pgNumType w:start="2"/>
          <w:cols w:space="720"/>
        </w:sectPr>
      </w:pPr>
    </w:p>
    <w:p w:rsidR="0086610A" w:rsidRDefault="0086610A">
      <w:pPr>
        <w:spacing w:before="74"/>
        <w:ind w:left="118"/>
        <w:rPr>
          <w:sz w:val="24"/>
        </w:rPr>
      </w:pPr>
      <w:r>
        <w:rPr>
          <w:sz w:val="24"/>
        </w:rPr>
        <w:t>société</w:t>
      </w:r>
      <w:r>
        <w:rPr>
          <w:spacing w:val="29"/>
          <w:sz w:val="24"/>
        </w:rPr>
        <w:t xml:space="preserve"> </w:t>
      </w:r>
      <w:r>
        <w:rPr>
          <w:sz w:val="24"/>
        </w:rPr>
        <w:t>anonyme</w:t>
      </w:r>
      <w:r>
        <w:rPr>
          <w:spacing w:val="29"/>
          <w:sz w:val="24"/>
        </w:rPr>
        <w:t xml:space="preserve"> </w:t>
      </w:r>
      <w:r>
        <w:rPr>
          <w:sz w:val="24"/>
        </w:rPr>
        <w:t>panaméenne</w:t>
      </w:r>
      <w:r>
        <w:rPr>
          <w:spacing w:val="-1"/>
          <w:sz w:val="24"/>
        </w:rPr>
        <w:t xml:space="preserve"> </w:t>
      </w:r>
      <w:r>
        <w:rPr>
          <w:sz w:val="24"/>
        </w:rPr>
        <w:t>:</w:t>
      </w:r>
      <w:r>
        <w:rPr>
          <w:spacing w:val="31"/>
          <w:sz w:val="24"/>
        </w:rPr>
        <w:t xml:space="preserve"> </w:t>
      </w:r>
      <w:r>
        <w:rPr>
          <w:sz w:val="24"/>
        </w:rPr>
        <w:t>CE,</w:t>
      </w:r>
      <w:r>
        <w:rPr>
          <w:spacing w:val="30"/>
          <w:sz w:val="24"/>
        </w:rPr>
        <w:t xml:space="preserve"> </w:t>
      </w:r>
      <w:r>
        <w:rPr>
          <w:i/>
          <w:sz w:val="24"/>
        </w:rPr>
        <w:t>16</w:t>
      </w:r>
      <w:r>
        <w:rPr>
          <w:i/>
          <w:spacing w:val="32"/>
          <w:sz w:val="24"/>
        </w:rPr>
        <w:t xml:space="preserve"> </w:t>
      </w:r>
      <w:r>
        <w:rPr>
          <w:i/>
          <w:sz w:val="24"/>
        </w:rPr>
        <w:t>décembre</w:t>
      </w:r>
      <w:r>
        <w:rPr>
          <w:i/>
          <w:spacing w:val="29"/>
          <w:sz w:val="24"/>
        </w:rPr>
        <w:t xml:space="preserve"> </w:t>
      </w:r>
      <w:r>
        <w:rPr>
          <w:i/>
          <w:sz w:val="24"/>
        </w:rPr>
        <w:t>1991,</w:t>
      </w:r>
      <w:r>
        <w:rPr>
          <w:i/>
          <w:spacing w:val="30"/>
          <w:sz w:val="24"/>
        </w:rPr>
        <w:t xml:space="preserve"> </w:t>
      </w:r>
      <w:r>
        <w:rPr>
          <w:i/>
          <w:sz w:val="24"/>
        </w:rPr>
        <w:t>n°</w:t>
      </w:r>
      <w:r>
        <w:rPr>
          <w:i/>
          <w:spacing w:val="-1"/>
          <w:sz w:val="24"/>
        </w:rPr>
        <w:t xml:space="preserve"> </w:t>
      </w:r>
      <w:r>
        <w:rPr>
          <w:b/>
          <w:i/>
          <w:sz w:val="24"/>
        </w:rPr>
        <w:t>54611</w:t>
      </w:r>
      <w:r>
        <w:rPr>
          <w:i/>
          <w:sz w:val="24"/>
        </w:rPr>
        <w:t>,</w:t>
      </w:r>
      <w:r>
        <w:rPr>
          <w:i/>
          <w:spacing w:val="32"/>
          <w:sz w:val="24"/>
        </w:rPr>
        <w:t xml:space="preserve"> </w:t>
      </w:r>
      <w:r>
        <w:rPr>
          <w:i/>
          <w:sz w:val="24"/>
        </w:rPr>
        <w:t>Ressources</w:t>
      </w:r>
      <w:r>
        <w:rPr>
          <w:i/>
          <w:spacing w:val="30"/>
          <w:sz w:val="24"/>
        </w:rPr>
        <w:t xml:space="preserve"> </w:t>
      </w:r>
      <w:r>
        <w:rPr>
          <w:i/>
          <w:sz w:val="24"/>
        </w:rPr>
        <w:t xml:space="preserve">Management </w:t>
      </w:r>
      <w:r>
        <w:rPr>
          <w:i/>
          <w:spacing w:val="-2"/>
          <w:sz w:val="24"/>
        </w:rPr>
        <w:t>Corporation</w:t>
      </w:r>
      <w:r>
        <w:rPr>
          <w:spacing w:val="-2"/>
          <w:sz w:val="24"/>
          <w:vertAlign w:val="superscript"/>
        </w:rPr>
        <w:t>8</w:t>
      </w:r>
      <w:r>
        <w:rPr>
          <w:spacing w:val="-2"/>
          <w:sz w:val="24"/>
        </w:rPr>
        <w:t>).</w:t>
      </w:r>
    </w:p>
    <w:p w:rsidR="0086610A" w:rsidRDefault="0086610A">
      <w:pPr>
        <w:pStyle w:val="BodyText"/>
      </w:pPr>
    </w:p>
    <w:p w:rsidR="0086610A" w:rsidRDefault="0086610A">
      <w:pPr>
        <w:pStyle w:val="BodyText"/>
        <w:spacing w:before="1"/>
        <w:ind w:left="118" w:right="168" w:firstLine="540"/>
        <w:jc w:val="both"/>
      </w:pPr>
      <w:r>
        <w:t>En revanche, le fait pour une personne morale, qui ne serait pas pour un autre motif passible de l’IS, de mettre gratuitement un élément de son actif à la disposition de son actionnaire, qui n’est pas considéré comme un tiers, ne constitue pas, par lui-même, une activité</w:t>
      </w:r>
      <w:r>
        <w:rPr>
          <w:spacing w:val="-3"/>
        </w:rPr>
        <w:t xml:space="preserve"> </w:t>
      </w:r>
      <w:r>
        <w:t>lucrative</w:t>
      </w:r>
      <w:r>
        <w:rPr>
          <w:spacing w:val="-2"/>
        </w:rPr>
        <w:t xml:space="preserve"> </w:t>
      </w:r>
      <w:r>
        <w:t>;</w:t>
      </w:r>
      <w:r>
        <w:rPr>
          <w:spacing w:val="-2"/>
        </w:rPr>
        <w:t xml:space="preserve"> </w:t>
      </w:r>
      <w:r>
        <w:t>ainsi, une</w:t>
      </w:r>
      <w:r>
        <w:rPr>
          <w:spacing w:val="-3"/>
        </w:rPr>
        <w:t xml:space="preserve"> </w:t>
      </w:r>
      <w:r>
        <w:t>société</w:t>
      </w:r>
      <w:r>
        <w:rPr>
          <w:spacing w:val="-3"/>
        </w:rPr>
        <w:t xml:space="preserve"> </w:t>
      </w:r>
      <w:r>
        <w:t>anonyme</w:t>
      </w:r>
      <w:r>
        <w:rPr>
          <w:spacing w:val="-3"/>
        </w:rPr>
        <w:t xml:space="preserve"> </w:t>
      </w:r>
      <w:r>
        <w:t>monégasque</w:t>
      </w:r>
      <w:r>
        <w:rPr>
          <w:spacing w:val="-1"/>
        </w:rPr>
        <w:t xml:space="preserve"> </w:t>
      </w:r>
      <w:r>
        <w:t>dont</w:t>
      </w:r>
      <w:r>
        <w:rPr>
          <w:spacing w:val="-2"/>
        </w:rPr>
        <w:t xml:space="preserve"> </w:t>
      </w:r>
      <w:r>
        <w:t>l’objet</w:t>
      </w:r>
      <w:r>
        <w:rPr>
          <w:spacing w:val="-2"/>
        </w:rPr>
        <w:t xml:space="preserve"> </w:t>
      </w:r>
      <w:r>
        <w:t>n’était</w:t>
      </w:r>
      <w:r>
        <w:rPr>
          <w:spacing w:val="-2"/>
        </w:rPr>
        <w:t xml:space="preserve"> </w:t>
      </w:r>
      <w:r>
        <w:t xml:space="preserve">pas commercial et qui mettait à la disposition gratuite de son principal actionnaire un bien immobilier utilisé à usage de colonie de vacances pour des enfants et de maison de repos pour des enseignants n’était pas passible de l’IS (CE, </w:t>
      </w:r>
      <w:r>
        <w:rPr>
          <w:i/>
        </w:rPr>
        <w:t>24 mai 2006, n°</w:t>
      </w:r>
      <w:r>
        <w:rPr>
          <w:i/>
          <w:spacing w:val="-1"/>
        </w:rPr>
        <w:t xml:space="preserve"> </w:t>
      </w:r>
      <w:r>
        <w:rPr>
          <w:b/>
          <w:i/>
        </w:rPr>
        <w:t>278737</w:t>
      </w:r>
      <w:r>
        <w:rPr>
          <w:i/>
        </w:rPr>
        <w:t>, min. c/ sté immobilière "Saint- Charles"</w:t>
      </w:r>
      <w:r>
        <w:rPr>
          <w:vertAlign w:val="superscript"/>
        </w:rPr>
        <w:t>9</w:t>
      </w:r>
      <w:r>
        <w:t>). Le raisonnement est le même lorsque la mise à disposition se fait au profit des salariés</w:t>
      </w:r>
      <w:r>
        <w:rPr>
          <w:spacing w:val="40"/>
        </w:rPr>
        <w:t xml:space="preserve"> </w:t>
      </w:r>
      <w:r>
        <w:t>de</w:t>
      </w:r>
      <w:r>
        <w:rPr>
          <w:spacing w:val="40"/>
        </w:rPr>
        <w:t xml:space="preserve"> </w:t>
      </w:r>
      <w:r>
        <w:t>la</w:t>
      </w:r>
      <w:r>
        <w:rPr>
          <w:spacing w:val="40"/>
        </w:rPr>
        <w:t xml:space="preserve"> </w:t>
      </w:r>
      <w:r>
        <w:t>société,</w:t>
      </w:r>
      <w:r>
        <w:rPr>
          <w:spacing w:val="40"/>
        </w:rPr>
        <w:t xml:space="preserve"> </w:t>
      </w:r>
      <w:r>
        <w:t>pour</w:t>
      </w:r>
      <w:r>
        <w:rPr>
          <w:spacing w:val="40"/>
        </w:rPr>
        <w:t xml:space="preserve"> </w:t>
      </w:r>
      <w:r>
        <w:t>qu’ils</w:t>
      </w:r>
      <w:r>
        <w:rPr>
          <w:spacing w:val="40"/>
        </w:rPr>
        <w:t xml:space="preserve"> </w:t>
      </w:r>
      <w:r>
        <w:t>viennent</w:t>
      </w:r>
      <w:r>
        <w:rPr>
          <w:spacing w:val="40"/>
        </w:rPr>
        <w:t xml:space="preserve"> </w:t>
      </w:r>
      <w:r>
        <w:t>passer</w:t>
      </w:r>
      <w:r>
        <w:rPr>
          <w:spacing w:val="40"/>
        </w:rPr>
        <w:t xml:space="preserve"> </w:t>
      </w:r>
      <w:r>
        <w:t>leurs</w:t>
      </w:r>
      <w:r>
        <w:rPr>
          <w:spacing w:val="40"/>
        </w:rPr>
        <w:t xml:space="preserve"> </w:t>
      </w:r>
      <w:r>
        <w:t>vacances</w:t>
      </w:r>
      <w:r>
        <w:rPr>
          <w:spacing w:val="40"/>
        </w:rPr>
        <w:t xml:space="preserve"> </w:t>
      </w:r>
      <w:r>
        <w:t>en</w:t>
      </w:r>
      <w:r>
        <w:rPr>
          <w:spacing w:val="40"/>
        </w:rPr>
        <w:t xml:space="preserve"> </w:t>
      </w:r>
      <w:r>
        <w:t>France</w:t>
      </w:r>
      <w:r>
        <w:rPr>
          <w:spacing w:val="40"/>
        </w:rPr>
        <w:t xml:space="preserve"> </w:t>
      </w:r>
      <w:r>
        <w:t>(CAA</w:t>
      </w:r>
      <w:r>
        <w:rPr>
          <w:spacing w:val="40"/>
        </w:rPr>
        <w:t xml:space="preserve"> </w:t>
      </w:r>
      <w:r>
        <w:t xml:space="preserve">Paris, </w:t>
      </w:r>
      <w:r>
        <w:rPr>
          <w:i/>
        </w:rPr>
        <w:t>1</w:t>
      </w:r>
      <w:r>
        <w:rPr>
          <w:i/>
          <w:vertAlign w:val="superscript"/>
        </w:rPr>
        <w:t>er</w:t>
      </w:r>
      <w:r>
        <w:rPr>
          <w:i/>
          <w:spacing w:val="-15"/>
        </w:rPr>
        <w:t xml:space="preserve"> </w:t>
      </w:r>
      <w:r>
        <w:rPr>
          <w:i/>
        </w:rPr>
        <w:t>juin 2005, n° 02-162, min. c/ Sté Dyas</w:t>
      </w:r>
      <w:r>
        <w:rPr>
          <w:i/>
          <w:spacing w:val="-15"/>
        </w:rPr>
        <w:t xml:space="preserve"> </w:t>
      </w:r>
      <w:r>
        <w:rPr>
          <w:vertAlign w:val="superscript"/>
        </w:rPr>
        <w:t>10</w:t>
      </w:r>
      <w:r>
        <w:rPr>
          <w:spacing w:val="-15"/>
        </w:rPr>
        <w:t xml:space="preserve"> </w:t>
      </w:r>
      <w:r>
        <w:t xml:space="preserve">). Au titre de la logique familiale, on peut mentionner la décision déjà évoquée du </w:t>
      </w:r>
      <w:r>
        <w:rPr>
          <w:i/>
        </w:rPr>
        <w:t xml:space="preserve">16 mai 2018, n° </w:t>
      </w:r>
      <w:r>
        <w:rPr>
          <w:b/>
          <w:i/>
        </w:rPr>
        <w:t>398055</w:t>
      </w:r>
      <w:r>
        <w:rPr>
          <w:i/>
        </w:rPr>
        <w:t xml:space="preserve">, Sté World Investment Corporation </w:t>
      </w:r>
      <w:r>
        <w:t>(immeuble</w:t>
      </w:r>
      <w:r>
        <w:rPr>
          <w:spacing w:val="-3"/>
        </w:rPr>
        <w:t xml:space="preserve"> </w:t>
      </w:r>
      <w:r>
        <w:t>mis à disposition, gratuitement, de parents des associés de</w:t>
      </w:r>
      <w:r>
        <w:rPr>
          <w:spacing w:val="-1"/>
        </w:rPr>
        <w:t xml:space="preserve"> </w:t>
      </w:r>
      <w:r>
        <w:t>la société).</w:t>
      </w:r>
    </w:p>
    <w:p w:rsidR="0086610A" w:rsidRDefault="0086610A">
      <w:pPr>
        <w:pStyle w:val="BodyText"/>
      </w:pPr>
    </w:p>
    <w:p w:rsidR="0086610A" w:rsidRDefault="0086610A">
      <w:pPr>
        <w:pStyle w:val="BodyText"/>
        <w:ind w:left="118" w:right="173" w:firstLine="540"/>
        <w:jc w:val="both"/>
      </w:pPr>
      <w:r>
        <w:t>A l’aune de ces exemples, qui permettent de dégager quelques tendances dans une jurisprudence qui reste essentiellement casuistique, quel regard porter sur l’arrêt ici contesté, étant rappelé que vous exercez un contrôle de qualification juridique sur la notion d’exploitation à caractère lucratif</w:t>
      </w:r>
      <w:r>
        <w:rPr>
          <w:vertAlign w:val="superscript"/>
        </w:rPr>
        <w:t>11</w:t>
      </w:r>
      <w:r>
        <w:t xml:space="preserve"> ?</w:t>
      </w:r>
    </w:p>
    <w:p w:rsidR="0086610A" w:rsidRDefault="0086610A">
      <w:pPr>
        <w:pStyle w:val="BodyText"/>
      </w:pPr>
    </w:p>
    <w:p w:rsidR="0086610A" w:rsidRDefault="0086610A">
      <w:pPr>
        <w:pStyle w:val="BodyText"/>
        <w:spacing w:before="1"/>
        <w:ind w:left="118" w:right="177" w:firstLine="540"/>
        <w:jc w:val="both"/>
      </w:pPr>
      <w:r>
        <w:t>La cour semble s’être fondée sur deux éléments : l’objet social de la société Carmejane et le fait qu’un des biens immobiliers soit mis à disposition de tiers (l’employé des parents de M. Tench Coxe et sa compagne).</w:t>
      </w:r>
    </w:p>
    <w:p w:rsidR="0086610A" w:rsidRDefault="0086610A">
      <w:pPr>
        <w:pStyle w:val="BodyText"/>
      </w:pPr>
    </w:p>
    <w:p w:rsidR="0086610A" w:rsidRDefault="0086610A">
      <w:pPr>
        <w:pStyle w:val="BodyText"/>
        <w:ind w:left="118" w:right="171" w:firstLine="540"/>
        <w:jc w:val="both"/>
      </w:pPr>
      <w:r>
        <w:t xml:space="preserve">En ce qui concerne l’objet social, la cour de Marseille semble avoir traditionnellement une approche très formaliste, excluant de tenir compte de l’activité réellement exercée, lorsqu’elle n’est pas pleinement cohérente avec l’objet social. Elle a ainsi pu juger que, dès lors que l’objet statutaire d’une société étrangère avait un caractère commercial, celle-ci était passible de l’IS en France, sans qu’ait d’incidence la circonstance non contestée que son unique activité avait consisté à mettre gratuitement à disposition de ses associés des biens immobiliers (CAA Marseille, </w:t>
      </w:r>
      <w:r>
        <w:rPr>
          <w:i/>
        </w:rPr>
        <w:t>7 avril 2009, n° 06-2890, Sté Arevir Etablissement</w:t>
      </w:r>
      <w:r>
        <w:rPr>
          <w:vertAlign w:val="superscript"/>
        </w:rPr>
        <w:t>12</w:t>
      </w:r>
      <w:r>
        <w:t xml:space="preserve">). Cette primauté accordée à l’objet social statutaire nous paraît excessive. Il nous semble que le caractère commercial découlant de l’objet social est seulement un indice, mais qu’on ne peut faire totalement abstraction de l’activité réelle, qui est bien </w:t>
      </w:r>
      <w:r>
        <w:rPr>
          <w:i/>
        </w:rPr>
        <w:t xml:space="preserve">in fine </w:t>
      </w:r>
      <w:r>
        <w:t>la référence par rapport à laquelle il faut déterminer si l’activité revêt ou non un caractère lucratif</w:t>
      </w:r>
      <w:r>
        <w:rPr>
          <w:vertAlign w:val="superscript"/>
        </w:rPr>
        <w:t>13</w:t>
      </w:r>
      <w:r>
        <w:t>. Il est en effet possible qu’une société ait un objet à caractère commercial mais, réalise, en France, uniquement des opérations non lucratives. Votre décision pourrait être l’occasion de clarifier ce point. Ici, il n’est pas contesté que l’activité de la société Carmejane était limitée à la détention des biens immobiliers situés en France.</w:t>
      </w:r>
    </w:p>
    <w:p w:rsidR="0086610A" w:rsidRDefault="0086610A">
      <w:pPr>
        <w:pStyle w:val="BodyText"/>
        <w:spacing w:before="275"/>
        <w:ind w:left="118" w:right="174" w:firstLine="540"/>
        <w:jc w:val="both"/>
      </w:pPr>
      <w:r>
        <w:t>Le second critère retenu par l’arrêt nous paraît également fragile. La société met les</w:t>
      </w:r>
      <w:r>
        <w:rPr>
          <w:spacing w:val="40"/>
        </w:rPr>
        <w:t xml:space="preserve"> </w:t>
      </w:r>
      <w:r>
        <w:t>deux biens gratuitement à la disposition de membres de la famille proche de l’un de ses associés.</w:t>
      </w:r>
      <w:r>
        <w:rPr>
          <w:spacing w:val="69"/>
        </w:rPr>
        <w:t xml:space="preserve"> </w:t>
      </w:r>
      <w:r>
        <w:t>Ces</w:t>
      </w:r>
      <w:r>
        <w:rPr>
          <w:spacing w:val="71"/>
        </w:rPr>
        <w:t xml:space="preserve"> </w:t>
      </w:r>
      <w:r>
        <w:t>personnes</w:t>
      </w:r>
      <w:r>
        <w:rPr>
          <w:spacing w:val="74"/>
        </w:rPr>
        <w:t xml:space="preserve"> </w:t>
      </w:r>
      <w:r>
        <w:t>emploient</w:t>
      </w:r>
      <w:r>
        <w:rPr>
          <w:spacing w:val="71"/>
        </w:rPr>
        <w:t xml:space="preserve"> </w:t>
      </w:r>
      <w:r>
        <w:t>quelqu’un</w:t>
      </w:r>
      <w:r>
        <w:rPr>
          <w:spacing w:val="71"/>
        </w:rPr>
        <w:t xml:space="preserve"> </w:t>
      </w:r>
      <w:r>
        <w:t>pour</w:t>
      </w:r>
      <w:r>
        <w:rPr>
          <w:spacing w:val="70"/>
        </w:rPr>
        <w:t xml:space="preserve"> </w:t>
      </w:r>
      <w:r>
        <w:t>assurer</w:t>
      </w:r>
      <w:r>
        <w:rPr>
          <w:spacing w:val="71"/>
        </w:rPr>
        <w:t xml:space="preserve"> </w:t>
      </w:r>
      <w:r>
        <w:t>le</w:t>
      </w:r>
      <w:r>
        <w:rPr>
          <w:spacing w:val="72"/>
        </w:rPr>
        <w:t xml:space="preserve"> </w:t>
      </w:r>
      <w:r>
        <w:t>gardiennage</w:t>
      </w:r>
      <w:r>
        <w:rPr>
          <w:spacing w:val="70"/>
        </w:rPr>
        <w:t xml:space="preserve"> </w:t>
      </w:r>
      <w:r>
        <w:t>de</w:t>
      </w:r>
      <w:r>
        <w:rPr>
          <w:spacing w:val="69"/>
        </w:rPr>
        <w:t xml:space="preserve"> </w:t>
      </w:r>
      <w:r>
        <w:t>la</w:t>
      </w:r>
      <w:r>
        <w:rPr>
          <w:spacing w:val="73"/>
        </w:rPr>
        <w:t xml:space="preserve"> </w:t>
      </w:r>
      <w:r>
        <w:rPr>
          <w:spacing w:val="-2"/>
        </w:rPr>
        <w:t>grande</w:t>
      </w:r>
    </w:p>
    <w:p w:rsidR="0086610A" w:rsidRDefault="0086610A">
      <w:pPr>
        <w:pStyle w:val="BodyText"/>
        <w:spacing w:before="5"/>
        <w:rPr>
          <w:sz w:val="14"/>
        </w:rPr>
      </w:pPr>
      <w:r>
        <w:rPr>
          <w:noProof/>
          <w:lang w:eastAsia="fr-FR"/>
        </w:rPr>
        <w:pict>
          <v:rect id="docshape4" o:spid="_x0000_s1029" style="position:absolute;margin-left:70.95pt;margin-top:9.5pt;width:2in;height:.6pt;z-index:-251656192;mso-wrap-distance-left:0;mso-wrap-distance-right:0;mso-position-horizontal-relative:page" fillcolor="black" stroked="f">
            <w10:wrap type="topAndBottom" anchorx="page"/>
          </v:rect>
        </w:pict>
      </w:r>
    </w:p>
    <w:p w:rsidR="0086610A" w:rsidRDefault="0086610A">
      <w:pPr>
        <w:spacing w:before="103" w:line="229" w:lineRule="exact"/>
        <w:ind w:left="118"/>
        <w:rPr>
          <w:sz w:val="20"/>
        </w:rPr>
      </w:pPr>
      <w:r>
        <w:rPr>
          <w:sz w:val="20"/>
          <w:vertAlign w:val="superscript"/>
        </w:rPr>
        <w:t>8</w:t>
      </w:r>
      <w:r>
        <w:rPr>
          <w:spacing w:val="-3"/>
          <w:sz w:val="20"/>
        </w:rPr>
        <w:t xml:space="preserve"> </w:t>
      </w:r>
      <w:r>
        <w:rPr>
          <w:sz w:val="20"/>
        </w:rPr>
        <w:t>RJF</w:t>
      </w:r>
      <w:r>
        <w:rPr>
          <w:spacing w:val="-4"/>
          <w:sz w:val="20"/>
        </w:rPr>
        <w:t xml:space="preserve"> </w:t>
      </w:r>
      <w:r>
        <w:rPr>
          <w:sz w:val="20"/>
        </w:rPr>
        <w:t>2/92</w:t>
      </w:r>
      <w:r>
        <w:rPr>
          <w:spacing w:val="-1"/>
          <w:sz w:val="20"/>
        </w:rPr>
        <w:t xml:space="preserve"> </w:t>
      </w:r>
      <w:r>
        <w:rPr>
          <w:sz w:val="20"/>
        </w:rPr>
        <w:t>n°</w:t>
      </w:r>
      <w:r>
        <w:rPr>
          <w:spacing w:val="-4"/>
          <w:sz w:val="20"/>
        </w:rPr>
        <w:t xml:space="preserve"> 245.</w:t>
      </w:r>
    </w:p>
    <w:p w:rsidR="0086610A" w:rsidRDefault="0086610A">
      <w:pPr>
        <w:spacing w:line="229" w:lineRule="exact"/>
        <w:ind w:left="118"/>
        <w:rPr>
          <w:sz w:val="20"/>
        </w:rPr>
      </w:pPr>
      <w:r>
        <w:rPr>
          <w:sz w:val="20"/>
          <w:vertAlign w:val="superscript"/>
        </w:rPr>
        <w:t>9</w:t>
      </w:r>
      <w:r>
        <w:rPr>
          <w:spacing w:val="-4"/>
          <w:sz w:val="20"/>
        </w:rPr>
        <w:t xml:space="preserve"> </w:t>
      </w:r>
      <w:r>
        <w:rPr>
          <w:sz w:val="20"/>
        </w:rPr>
        <w:t>Au</w:t>
      </w:r>
      <w:r>
        <w:rPr>
          <w:spacing w:val="-4"/>
          <w:sz w:val="20"/>
        </w:rPr>
        <w:t xml:space="preserve"> </w:t>
      </w:r>
      <w:r>
        <w:rPr>
          <w:sz w:val="20"/>
        </w:rPr>
        <w:t>Recueil,</w:t>
      </w:r>
      <w:r>
        <w:rPr>
          <w:spacing w:val="-3"/>
          <w:sz w:val="20"/>
        </w:rPr>
        <w:t xml:space="preserve"> </w:t>
      </w:r>
      <w:r>
        <w:rPr>
          <w:sz w:val="20"/>
        </w:rPr>
        <w:t>RJF</w:t>
      </w:r>
      <w:r>
        <w:rPr>
          <w:spacing w:val="-4"/>
          <w:sz w:val="20"/>
        </w:rPr>
        <w:t xml:space="preserve"> </w:t>
      </w:r>
      <w:r>
        <w:rPr>
          <w:sz w:val="20"/>
        </w:rPr>
        <w:t>8-9/06</w:t>
      </w:r>
      <w:r>
        <w:rPr>
          <w:spacing w:val="-3"/>
          <w:sz w:val="20"/>
        </w:rPr>
        <w:t xml:space="preserve"> </w:t>
      </w:r>
      <w:r>
        <w:rPr>
          <w:sz w:val="20"/>
        </w:rPr>
        <w:t>n°</w:t>
      </w:r>
      <w:r>
        <w:rPr>
          <w:spacing w:val="-4"/>
          <w:sz w:val="20"/>
        </w:rPr>
        <w:t xml:space="preserve"> </w:t>
      </w:r>
      <w:r>
        <w:rPr>
          <w:sz w:val="20"/>
        </w:rPr>
        <w:t>996,</w:t>
      </w:r>
      <w:r>
        <w:rPr>
          <w:spacing w:val="-3"/>
          <w:sz w:val="20"/>
        </w:rPr>
        <w:t xml:space="preserve"> </w:t>
      </w:r>
      <w:r>
        <w:rPr>
          <w:sz w:val="20"/>
        </w:rPr>
        <w:t>cl.</w:t>
      </w:r>
      <w:r>
        <w:rPr>
          <w:spacing w:val="-1"/>
          <w:sz w:val="20"/>
        </w:rPr>
        <w:t xml:space="preserve"> </w:t>
      </w:r>
      <w:r>
        <w:rPr>
          <w:sz w:val="20"/>
        </w:rPr>
        <w:t>E.</w:t>
      </w:r>
      <w:r>
        <w:rPr>
          <w:spacing w:val="-4"/>
          <w:sz w:val="20"/>
        </w:rPr>
        <w:t xml:space="preserve"> </w:t>
      </w:r>
      <w:r>
        <w:rPr>
          <w:sz w:val="20"/>
        </w:rPr>
        <w:t>Glaser</w:t>
      </w:r>
      <w:r>
        <w:rPr>
          <w:spacing w:val="-3"/>
          <w:sz w:val="20"/>
        </w:rPr>
        <w:t xml:space="preserve"> </w:t>
      </w:r>
      <w:r>
        <w:rPr>
          <w:sz w:val="20"/>
        </w:rPr>
        <w:t>BDCF</w:t>
      </w:r>
      <w:r>
        <w:rPr>
          <w:spacing w:val="-4"/>
          <w:sz w:val="20"/>
        </w:rPr>
        <w:t xml:space="preserve"> </w:t>
      </w:r>
      <w:r>
        <w:rPr>
          <w:sz w:val="20"/>
        </w:rPr>
        <w:t>8-9/06</w:t>
      </w:r>
      <w:r>
        <w:rPr>
          <w:spacing w:val="-5"/>
          <w:sz w:val="20"/>
        </w:rPr>
        <w:t xml:space="preserve"> </w:t>
      </w:r>
      <w:r>
        <w:rPr>
          <w:sz w:val="20"/>
        </w:rPr>
        <w:t>n°</w:t>
      </w:r>
      <w:r>
        <w:rPr>
          <w:spacing w:val="-4"/>
          <w:sz w:val="20"/>
        </w:rPr>
        <w:t xml:space="preserve"> </w:t>
      </w:r>
      <w:r>
        <w:rPr>
          <w:spacing w:val="-5"/>
          <w:sz w:val="20"/>
        </w:rPr>
        <w:t>98.</w:t>
      </w:r>
    </w:p>
    <w:p w:rsidR="0086610A" w:rsidRDefault="0086610A">
      <w:pPr>
        <w:spacing w:before="1"/>
        <w:ind w:left="118"/>
        <w:rPr>
          <w:sz w:val="20"/>
        </w:rPr>
      </w:pPr>
      <w:r>
        <w:rPr>
          <w:sz w:val="20"/>
          <w:vertAlign w:val="superscript"/>
        </w:rPr>
        <w:t>10</w:t>
      </w:r>
      <w:r>
        <w:rPr>
          <w:spacing w:val="-3"/>
          <w:sz w:val="20"/>
        </w:rPr>
        <w:t xml:space="preserve"> </w:t>
      </w:r>
      <w:r>
        <w:rPr>
          <w:sz w:val="20"/>
        </w:rPr>
        <w:t>Aux</w:t>
      </w:r>
      <w:r>
        <w:rPr>
          <w:spacing w:val="-4"/>
          <w:sz w:val="20"/>
        </w:rPr>
        <w:t xml:space="preserve"> </w:t>
      </w:r>
      <w:r>
        <w:rPr>
          <w:sz w:val="20"/>
        </w:rPr>
        <w:t>T.,</w:t>
      </w:r>
      <w:r>
        <w:rPr>
          <w:spacing w:val="-1"/>
          <w:sz w:val="20"/>
        </w:rPr>
        <w:t xml:space="preserve"> </w:t>
      </w:r>
      <w:r>
        <w:rPr>
          <w:sz w:val="20"/>
        </w:rPr>
        <w:t>RJF</w:t>
      </w:r>
      <w:r>
        <w:rPr>
          <w:spacing w:val="-4"/>
          <w:sz w:val="20"/>
        </w:rPr>
        <w:t xml:space="preserve"> </w:t>
      </w:r>
      <w:r>
        <w:rPr>
          <w:sz w:val="20"/>
        </w:rPr>
        <w:t>11/05</w:t>
      </w:r>
      <w:r>
        <w:rPr>
          <w:spacing w:val="-3"/>
          <w:sz w:val="20"/>
        </w:rPr>
        <w:t xml:space="preserve"> </w:t>
      </w:r>
      <w:r>
        <w:rPr>
          <w:sz w:val="20"/>
        </w:rPr>
        <w:t>n°</w:t>
      </w:r>
      <w:r>
        <w:rPr>
          <w:spacing w:val="-4"/>
          <w:sz w:val="20"/>
        </w:rPr>
        <w:t xml:space="preserve"> </w:t>
      </w:r>
      <w:r>
        <w:rPr>
          <w:spacing w:val="-2"/>
          <w:sz w:val="20"/>
        </w:rPr>
        <w:t>1161.</w:t>
      </w:r>
    </w:p>
    <w:p w:rsidR="0086610A" w:rsidRDefault="0086610A">
      <w:pPr>
        <w:spacing w:before="1"/>
        <w:ind w:left="118"/>
        <w:rPr>
          <w:sz w:val="20"/>
        </w:rPr>
      </w:pPr>
      <w:r>
        <w:rPr>
          <w:sz w:val="20"/>
          <w:vertAlign w:val="superscript"/>
        </w:rPr>
        <w:t>11</w:t>
      </w:r>
      <w:r>
        <w:rPr>
          <w:spacing w:val="-5"/>
          <w:sz w:val="20"/>
        </w:rPr>
        <w:t xml:space="preserve"> </w:t>
      </w:r>
      <w:r>
        <w:rPr>
          <w:sz w:val="20"/>
        </w:rPr>
        <w:t>CE,</w:t>
      </w:r>
      <w:r>
        <w:rPr>
          <w:spacing w:val="-3"/>
          <w:sz w:val="20"/>
        </w:rPr>
        <w:t xml:space="preserve"> </w:t>
      </w:r>
      <w:r>
        <w:rPr>
          <w:i/>
          <w:sz w:val="20"/>
        </w:rPr>
        <w:t>29</w:t>
      </w:r>
      <w:r>
        <w:rPr>
          <w:i/>
          <w:spacing w:val="-3"/>
          <w:sz w:val="20"/>
        </w:rPr>
        <w:t xml:space="preserve"> </w:t>
      </w:r>
      <w:r>
        <w:rPr>
          <w:i/>
          <w:sz w:val="20"/>
        </w:rPr>
        <w:t>juillet</w:t>
      </w:r>
      <w:r>
        <w:rPr>
          <w:i/>
          <w:spacing w:val="-5"/>
          <w:sz w:val="20"/>
        </w:rPr>
        <w:t xml:space="preserve"> </w:t>
      </w:r>
      <w:r>
        <w:rPr>
          <w:i/>
          <w:sz w:val="20"/>
        </w:rPr>
        <w:t>1998,</w:t>
      </w:r>
      <w:r>
        <w:rPr>
          <w:i/>
          <w:spacing w:val="-6"/>
          <w:sz w:val="20"/>
        </w:rPr>
        <w:t xml:space="preserve"> </w:t>
      </w:r>
      <w:r>
        <w:rPr>
          <w:i/>
          <w:sz w:val="20"/>
        </w:rPr>
        <w:t>n°</w:t>
      </w:r>
      <w:r>
        <w:rPr>
          <w:i/>
          <w:spacing w:val="-3"/>
          <w:sz w:val="20"/>
        </w:rPr>
        <w:t xml:space="preserve"> </w:t>
      </w:r>
      <w:r>
        <w:rPr>
          <w:b/>
          <w:i/>
          <w:sz w:val="20"/>
        </w:rPr>
        <w:t>140448</w:t>
      </w:r>
      <w:r>
        <w:rPr>
          <w:i/>
          <w:sz w:val="20"/>
        </w:rPr>
        <w:t>,</w:t>
      </w:r>
      <w:r>
        <w:rPr>
          <w:i/>
          <w:spacing w:val="-4"/>
          <w:sz w:val="20"/>
        </w:rPr>
        <w:t xml:space="preserve"> </w:t>
      </w:r>
      <w:r>
        <w:rPr>
          <w:i/>
          <w:sz w:val="20"/>
        </w:rPr>
        <w:t>Union</w:t>
      </w:r>
      <w:r>
        <w:rPr>
          <w:i/>
          <w:spacing w:val="-3"/>
          <w:sz w:val="20"/>
        </w:rPr>
        <w:t xml:space="preserve"> </w:t>
      </w:r>
      <w:r>
        <w:rPr>
          <w:i/>
          <w:sz w:val="20"/>
        </w:rPr>
        <w:t>mutualiste</w:t>
      </w:r>
      <w:r>
        <w:rPr>
          <w:i/>
          <w:spacing w:val="-4"/>
          <w:sz w:val="20"/>
        </w:rPr>
        <w:t xml:space="preserve"> </w:t>
      </w:r>
      <w:r>
        <w:rPr>
          <w:i/>
          <w:sz w:val="20"/>
        </w:rPr>
        <w:t>de</w:t>
      </w:r>
      <w:r>
        <w:rPr>
          <w:i/>
          <w:spacing w:val="-4"/>
          <w:sz w:val="20"/>
        </w:rPr>
        <w:t xml:space="preserve"> </w:t>
      </w:r>
      <w:r>
        <w:rPr>
          <w:i/>
          <w:sz w:val="20"/>
        </w:rPr>
        <w:t>l’Allier</w:t>
      </w:r>
      <w:r>
        <w:rPr>
          <w:sz w:val="20"/>
        </w:rPr>
        <w:t>,</w:t>
      </w:r>
      <w:r>
        <w:rPr>
          <w:spacing w:val="-4"/>
          <w:sz w:val="20"/>
        </w:rPr>
        <w:t xml:space="preserve"> </w:t>
      </w:r>
      <w:r>
        <w:rPr>
          <w:sz w:val="20"/>
        </w:rPr>
        <w:t>RJF</w:t>
      </w:r>
      <w:r>
        <w:rPr>
          <w:spacing w:val="-5"/>
          <w:sz w:val="20"/>
        </w:rPr>
        <w:t xml:space="preserve"> </w:t>
      </w:r>
      <w:r>
        <w:rPr>
          <w:sz w:val="20"/>
        </w:rPr>
        <w:t>10/98</w:t>
      </w:r>
      <w:r>
        <w:rPr>
          <w:spacing w:val="-3"/>
          <w:sz w:val="20"/>
        </w:rPr>
        <w:t xml:space="preserve"> </w:t>
      </w:r>
      <w:r>
        <w:rPr>
          <w:sz w:val="20"/>
        </w:rPr>
        <w:t>n°</w:t>
      </w:r>
      <w:r>
        <w:rPr>
          <w:spacing w:val="-5"/>
          <w:sz w:val="20"/>
        </w:rPr>
        <w:t xml:space="preserve"> </w:t>
      </w:r>
      <w:r>
        <w:rPr>
          <w:spacing w:val="-2"/>
          <w:sz w:val="20"/>
        </w:rPr>
        <w:t>1095.</w:t>
      </w:r>
    </w:p>
    <w:p w:rsidR="0086610A" w:rsidRDefault="0086610A">
      <w:pPr>
        <w:ind w:left="118"/>
        <w:rPr>
          <w:sz w:val="20"/>
        </w:rPr>
      </w:pPr>
      <w:r>
        <w:rPr>
          <w:sz w:val="20"/>
          <w:vertAlign w:val="superscript"/>
        </w:rPr>
        <w:t>12</w:t>
      </w:r>
      <w:r>
        <w:rPr>
          <w:spacing w:val="-3"/>
          <w:sz w:val="20"/>
        </w:rPr>
        <w:t xml:space="preserve"> </w:t>
      </w:r>
      <w:r>
        <w:rPr>
          <w:sz w:val="20"/>
        </w:rPr>
        <w:t>RJF</w:t>
      </w:r>
      <w:r>
        <w:rPr>
          <w:spacing w:val="-4"/>
          <w:sz w:val="20"/>
        </w:rPr>
        <w:t xml:space="preserve"> </w:t>
      </w:r>
      <w:r>
        <w:rPr>
          <w:sz w:val="20"/>
        </w:rPr>
        <w:t>2/10</w:t>
      </w:r>
      <w:r>
        <w:rPr>
          <w:spacing w:val="-2"/>
          <w:sz w:val="20"/>
        </w:rPr>
        <w:t xml:space="preserve"> </w:t>
      </w:r>
      <w:r>
        <w:rPr>
          <w:sz w:val="20"/>
        </w:rPr>
        <w:t>n°</w:t>
      </w:r>
      <w:r>
        <w:rPr>
          <w:spacing w:val="-3"/>
          <w:sz w:val="20"/>
        </w:rPr>
        <w:t xml:space="preserve"> </w:t>
      </w:r>
      <w:r>
        <w:rPr>
          <w:spacing w:val="-4"/>
          <w:sz w:val="20"/>
        </w:rPr>
        <w:t>104.</w:t>
      </w:r>
    </w:p>
    <w:p w:rsidR="0086610A" w:rsidRDefault="0086610A">
      <w:pPr>
        <w:ind w:left="118" w:right="174"/>
        <w:jc w:val="both"/>
        <w:rPr>
          <w:sz w:val="20"/>
        </w:rPr>
      </w:pPr>
      <w:r>
        <w:rPr>
          <w:sz w:val="20"/>
          <w:vertAlign w:val="superscript"/>
        </w:rPr>
        <w:t>13</w:t>
      </w:r>
      <w:r>
        <w:rPr>
          <w:spacing w:val="-3"/>
          <w:sz w:val="20"/>
        </w:rPr>
        <w:t xml:space="preserve"> </w:t>
      </w:r>
      <w:r>
        <w:rPr>
          <w:sz w:val="20"/>
        </w:rPr>
        <w:t>Cette approche est habituelle en matière fiscale, le juge ne se limitant en général pas à une approche formelle des</w:t>
      </w:r>
      <w:r>
        <w:rPr>
          <w:spacing w:val="21"/>
          <w:sz w:val="20"/>
        </w:rPr>
        <w:t xml:space="preserve"> </w:t>
      </w:r>
      <w:r>
        <w:rPr>
          <w:sz w:val="20"/>
        </w:rPr>
        <w:t>situations</w:t>
      </w:r>
      <w:r>
        <w:rPr>
          <w:spacing w:val="21"/>
          <w:sz w:val="20"/>
        </w:rPr>
        <w:t xml:space="preserve"> </w:t>
      </w:r>
      <w:r>
        <w:rPr>
          <w:sz w:val="20"/>
        </w:rPr>
        <w:t>qui</w:t>
      </w:r>
      <w:r>
        <w:rPr>
          <w:spacing w:val="22"/>
          <w:sz w:val="20"/>
        </w:rPr>
        <w:t xml:space="preserve"> </w:t>
      </w:r>
      <w:r>
        <w:rPr>
          <w:sz w:val="20"/>
        </w:rPr>
        <w:t>lui</w:t>
      </w:r>
      <w:r>
        <w:rPr>
          <w:spacing w:val="22"/>
          <w:sz w:val="20"/>
        </w:rPr>
        <w:t xml:space="preserve"> </w:t>
      </w:r>
      <w:r>
        <w:rPr>
          <w:sz w:val="20"/>
        </w:rPr>
        <w:t>sont</w:t>
      </w:r>
      <w:r>
        <w:rPr>
          <w:spacing w:val="22"/>
          <w:sz w:val="20"/>
        </w:rPr>
        <w:t xml:space="preserve"> </w:t>
      </w:r>
      <w:r>
        <w:rPr>
          <w:sz w:val="20"/>
        </w:rPr>
        <w:t>soumises</w:t>
      </w:r>
      <w:r>
        <w:rPr>
          <w:spacing w:val="21"/>
          <w:sz w:val="20"/>
        </w:rPr>
        <w:t xml:space="preserve"> </w:t>
      </w:r>
      <w:r>
        <w:rPr>
          <w:sz w:val="20"/>
        </w:rPr>
        <w:t>(cf.,</w:t>
      </w:r>
      <w:r>
        <w:rPr>
          <w:spacing w:val="22"/>
          <w:sz w:val="20"/>
        </w:rPr>
        <w:t xml:space="preserve"> </w:t>
      </w:r>
      <w:r>
        <w:rPr>
          <w:sz w:val="20"/>
        </w:rPr>
        <w:t>par</w:t>
      </w:r>
      <w:r>
        <w:rPr>
          <w:spacing w:val="23"/>
          <w:sz w:val="20"/>
        </w:rPr>
        <w:t xml:space="preserve"> </w:t>
      </w:r>
      <w:r>
        <w:rPr>
          <w:sz w:val="20"/>
        </w:rPr>
        <w:t>exemple :</w:t>
      </w:r>
      <w:r>
        <w:rPr>
          <w:spacing w:val="22"/>
          <w:sz w:val="20"/>
        </w:rPr>
        <w:t xml:space="preserve"> </w:t>
      </w:r>
      <w:r>
        <w:rPr>
          <w:sz w:val="20"/>
        </w:rPr>
        <w:t>CE,</w:t>
      </w:r>
      <w:r>
        <w:rPr>
          <w:spacing w:val="24"/>
          <w:sz w:val="20"/>
        </w:rPr>
        <w:t xml:space="preserve"> </w:t>
      </w:r>
      <w:r>
        <w:rPr>
          <w:i/>
          <w:sz w:val="20"/>
        </w:rPr>
        <w:t>18</w:t>
      </w:r>
      <w:r>
        <w:rPr>
          <w:i/>
          <w:spacing w:val="23"/>
          <w:sz w:val="20"/>
        </w:rPr>
        <w:t xml:space="preserve"> </w:t>
      </w:r>
      <w:r>
        <w:rPr>
          <w:i/>
          <w:sz w:val="20"/>
        </w:rPr>
        <w:t>mars</w:t>
      </w:r>
      <w:r>
        <w:rPr>
          <w:i/>
          <w:spacing w:val="21"/>
          <w:sz w:val="20"/>
        </w:rPr>
        <w:t xml:space="preserve"> </w:t>
      </w:r>
      <w:r>
        <w:rPr>
          <w:i/>
          <w:sz w:val="20"/>
        </w:rPr>
        <w:t>2019,</w:t>
      </w:r>
      <w:r>
        <w:rPr>
          <w:i/>
          <w:spacing w:val="20"/>
          <w:sz w:val="20"/>
        </w:rPr>
        <w:t xml:space="preserve"> </w:t>
      </w:r>
      <w:r>
        <w:rPr>
          <w:i/>
          <w:sz w:val="20"/>
        </w:rPr>
        <w:t>n°</w:t>
      </w:r>
      <w:r>
        <w:rPr>
          <w:i/>
          <w:spacing w:val="21"/>
          <w:sz w:val="20"/>
        </w:rPr>
        <w:t xml:space="preserve"> </w:t>
      </w:r>
      <w:r>
        <w:rPr>
          <w:i/>
          <w:sz w:val="20"/>
        </w:rPr>
        <w:t>411640</w:t>
      </w:r>
      <w:r>
        <w:rPr>
          <w:i/>
          <w:spacing w:val="20"/>
          <w:sz w:val="20"/>
        </w:rPr>
        <w:t xml:space="preserve"> </w:t>
      </w:r>
      <w:r>
        <w:rPr>
          <w:i/>
          <w:sz w:val="20"/>
        </w:rPr>
        <w:t>et</w:t>
      </w:r>
      <w:r>
        <w:rPr>
          <w:i/>
          <w:spacing w:val="22"/>
          <w:sz w:val="20"/>
        </w:rPr>
        <w:t xml:space="preserve"> </w:t>
      </w:r>
      <w:r>
        <w:rPr>
          <w:i/>
          <w:sz w:val="20"/>
        </w:rPr>
        <w:t>a.</w:t>
      </w:r>
      <w:r>
        <w:rPr>
          <w:sz w:val="20"/>
        </w:rPr>
        <w:t>,</w:t>
      </w:r>
      <w:r>
        <w:rPr>
          <w:spacing w:val="22"/>
          <w:sz w:val="20"/>
        </w:rPr>
        <w:t xml:space="preserve"> </w:t>
      </w:r>
      <w:r>
        <w:rPr>
          <w:sz w:val="20"/>
        </w:rPr>
        <w:t>aux</w:t>
      </w:r>
      <w:r>
        <w:rPr>
          <w:spacing w:val="20"/>
          <w:sz w:val="20"/>
        </w:rPr>
        <w:t xml:space="preserve"> </w:t>
      </w:r>
      <w:r>
        <w:rPr>
          <w:sz w:val="20"/>
        </w:rPr>
        <w:t>T.,</w:t>
      </w:r>
      <w:r>
        <w:rPr>
          <w:spacing w:val="20"/>
          <w:sz w:val="20"/>
        </w:rPr>
        <w:t xml:space="preserve"> </w:t>
      </w:r>
      <w:r>
        <w:rPr>
          <w:sz w:val="20"/>
        </w:rPr>
        <w:t>RJF</w:t>
      </w:r>
      <w:r>
        <w:rPr>
          <w:spacing w:val="21"/>
          <w:sz w:val="20"/>
        </w:rPr>
        <w:t xml:space="preserve"> </w:t>
      </w:r>
      <w:r>
        <w:rPr>
          <w:sz w:val="20"/>
        </w:rPr>
        <w:t>6/19 n° 516, cl. M.-G. Merloz au C 516).</w:t>
      </w:r>
    </w:p>
    <w:p w:rsidR="0086610A" w:rsidRDefault="0086610A">
      <w:pPr>
        <w:jc w:val="both"/>
        <w:rPr>
          <w:sz w:val="20"/>
        </w:rPr>
        <w:sectPr w:rsidR="0086610A">
          <w:pgSz w:w="11910" w:h="16840"/>
          <w:pgMar w:top="1320" w:right="1240" w:bottom="1040" w:left="1300" w:header="0" w:footer="858" w:gutter="0"/>
          <w:cols w:space="720"/>
        </w:sectPr>
      </w:pPr>
    </w:p>
    <w:p w:rsidR="0086610A" w:rsidRDefault="0086610A">
      <w:pPr>
        <w:pStyle w:val="BodyText"/>
        <w:spacing w:before="74"/>
        <w:ind w:left="118" w:right="173"/>
        <w:jc w:val="both"/>
      </w:pPr>
      <w:r>
        <w:t>propriété qu’ils habitent et l’entretien de son jardin. La circonstance qu’elles décident d’héberger cet employé et sa famille dans l’autre bien immobilier mis à leur disposition ne nous paraît pas modifier la nature de l’opération réalisée par la société.</w:t>
      </w:r>
    </w:p>
    <w:p w:rsidR="0086610A" w:rsidRDefault="0086610A">
      <w:pPr>
        <w:pStyle w:val="BodyText"/>
      </w:pPr>
    </w:p>
    <w:p w:rsidR="0086610A" w:rsidRDefault="0086610A">
      <w:pPr>
        <w:pStyle w:val="BodyText"/>
        <w:spacing w:before="1"/>
        <w:ind w:left="118" w:right="180" w:firstLine="540"/>
        <w:jc w:val="both"/>
      </w:pPr>
      <w:r>
        <w:t>Nous vous proposons donc de censurer l’erreur de qualification juridique des faits commise par la cour en jugeant que l’activité en France de la société Carmejane revêtait un caractère lucratif.</w:t>
      </w:r>
    </w:p>
    <w:p w:rsidR="0086610A" w:rsidRDefault="0086610A">
      <w:pPr>
        <w:pStyle w:val="BodyText"/>
      </w:pPr>
    </w:p>
    <w:p w:rsidR="0086610A" w:rsidRDefault="0086610A">
      <w:pPr>
        <w:pStyle w:val="BodyText"/>
        <w:spacing w:before="275"/>
      </w:pPr>
    </w:p>
    <w:p w:rsidR="0086610A" w:rsidRDefault="0086610A">
      <w:pPr>
        <w:pStyle w:val="BodyText"/>
        <w:spacing w:before="1"/>
        <w:ind w:left="658"/>
      </w:pPr>
      <w:r>
        <w:t xml:space="preserve">PCMNC </w:t>
      </w:r>
      <w:r>
        <w:rPr>
          <w:spacing w:val="-10"/>
        </w:rPr>
        <w:t>:</w:t>
      </w:r>
    </w:p>
    <w:p w:rsidR="0086610A" w:rsidRDefault="0086610A">
      <w:pPr>
        <w:pStyle w:val="ListParagraph"/>
        <w:numPr>
          <w:ilvl w:val="0"/>
          <w:numId w:val="1"/>
        </w:numPr>
        <w:tabs>
          <w:tab w:val="left" w:pos="865"/>
        </w:tabs>
        <w:ind w:right="178" w:firstLine="540"/>
        <w:rPr>
          <w:sz w:val="24"/>
        </w:rPr>
      </w:pPr>
      <w:r>
        <w:rPr>
          <w:sz w:val="24"/>
        </w:rPr>
        <w:t>à</w:t>
      </w:r>
      <w:r>
        <w:rPr>
          <w:spacing w:val="65"/>
          <w:sz w:val="24"/>
        </w:rPr>
        <w:t xml:space="preserve"> </w:t>
      </w:r>
      <w:r>
        <w:rPr>
          <w:sz w:val="24"/>
        </w:rPr>
        <w:t>l’annulation</w:t>
      </w:r>
      <w:r>
        <w:rPr>
          <w:spacing w:val="66"/>
          <w:sz w:val="24"/>
        </w:rPr>
        <w:t xml:space="preserve"> </w:t>
      </w:r>
      <w:r>
        <w:rPr>
          <w:sz w:val="24"/>
        </w:rPr>
        <w:t>de</w:t>
      </w:r>
      <w:r>
        <w:rPr>
          <w:spacing w:val="65"/>
          <w:sz w:val="24"/>
        </w:rPr>
        <w:t xml:space="preserve"> </w:t>
      </w:r>
      <w:r>
        <w:rPr>
          <w:sz w:val="24"/>
        </w:rPr>
        <w:t>l’arrêt</w:t>
      </w:r>
      <w:r>
        <w:rPr>
          <w:spacing w:val="66"/>
          <w:sz w:val="24"/>
        </w:rPr>
        <w:t xml:space="preserve"> </w:t>
      </w:r>
      <w:r>
        <w:rPr>
          <w:sz w:val="24"/>
        </w:rPr>
        <w:t>du</w:t>
      </w:r>
      <w:r>
        <w:rPr>
          <w:spacing w:val="66"/>
          <w:sz w:val="24"/>
        </w:rPr>
        <w:t xml:space="preserve"> </w:t>
      </w:r>
      <w:r>
        <w:rPr>
          <w:sz w:val="24"/>
        </w:rPr>
        <w:t>17</w:t>
      </w:r>
      <w:r>
        <w:rPr>
          <w:spacing w:val="66"/>
          <w:sz w:val="24"/>
        </w:rPr>
        <w:t xml:space="preserve"> </w:t>
      </w:r>
      <w:r>
        <w:rPr>
          <w:sz w:val="24"/>
        </w:rPr>
        <w:t>mars</w:t>
      </w:r>
      <w:r>
        <w:rPr>
          <w:spacing w:val="66"/>
          <w:sz w:val="24"/>
        </w:rPr>
        <w:t xml:space="preserve"> </w:t>
      </w:r>
      <w:r>
        <w:rPr>
          <w:sz w:val="24"/>
        </w:rPr>
        <w:t>2022</w:t>
      </w:r>
      <w:r>
        <w:rPr>
          <w:spacing w:val="66"/>
          <w:sz w:val="24"/>
        </w:rPr>
        <w:t xml:space="preserve"> </w:t>
      </w:r>
      <w:r>
        <w:rPr>
          <w:sz w:val="24"/>
        </w:rPr>
        <w:t>de</w:t>
      </w:r>
      <w:r>
        <w:rPr>
          <w:spacing w:val="65"/>
          <w:sz w:val="24"/>
        </w:rPr>
        <w:t xml:space="preserve"> </w:t>
      </w:r>
      <w:r>
        <w:rPr>
          <w:sz w:val="24"/>
        </w:rPr>
        <w:t>la</w:t>
      </w:r>
      <w:r>
        <w:rPr>
          <w:spacing w:val="65"/>
          <w:sz w:val="24"/>
        </w:rPr>
        <w:t xml:space="preserve"> </w:t>
      </w:r>
      <w:r>
        <w:rPr>
          <w:sz w:val="24"/>
        </w:rPr>
        <w:t>cour</w:t>
      </w:r>
      <w:r>
        <w:rPr>
          <w:spacing w:val="65"/>
          <w:sz w:val="24"/>
        </w:rPr>
        <w:t xml:space="preserve"> </w:t>
      </w:r>
      <w:r>
        <w:rPr>
          <w:sz w:val="24"/>
        </w:rPr>
        <w:t>administrative</w:t>
      </w:r>
      <w:r>
        <w:rPr>
          <w:spacing w:val="65"/>
          <w:sz w:val="24"/>
        </w:rPr>
        <w:t xml:space="preserve"> </w:t>
      </w:r>
      <w:r>
        <w:rPr>
          <w:sz w:val="24"/>
        </w:rPr>
        <w:t>d’appel</w:t>
      </w:r>
      <w:r>
        <w:rPr>
          <w:spacing w:val="66"/>
          <w:sz w:val="24"/>
        </w:rPr>
        <w:t xml:space="preserve"> </w:t>
      </w:r>
      <w:r>
        <w:rPr>
          <w:sz w:val="24"/>
        </w:rPr>
        <w:t>de Marseille ;</w:t>
      </w:r>
    </w:p>
    <w:p w:rsidR="0086610A" w:rsidRDefault="0086610A">
      <w:pPr>
        <w:pStyle w:val="ListParagraph"/>
        <w:numPr>
          <w:ilvl w:val="0"/>
          <w:numId w:val="1"/>
        </w:numPr>
        <w:tabs>
          <w:tab w:val="left" w:pos="796"/>
        </w:tabs>
        <w:ind w:left="796" w:hanging="138"/>
        <w:rPr>
          <w:sz w:val="24"/>
        </w:rPr>
      </w:pPr>
      <w:r>
        <w:rPr>
          <w:sz w:val="24"/>
        </w:rPr>
        <w:t>au</w:t>
      </w:r>
      <w:r>
        <w:rPr>
          <w:spacing w:val="-3"/>
          <w:sz w:val="24"/>
        </w:rPr>
        <w:t xml:space="preserve"> </w:t>
      </w:r>
      <w:r>
        <w:rPr>
          <w:sz w:val="24"/>
        </w:rPr>
        <w:t>renvoi</w:t>
      </w:r>
      <w:r>
        <w:rPr>
          <w:spacing w:val="-1"/>
          <w:sz w:val="24"/>
        </w:rPr>
        <w:t xml:space="preserve"> </w:t>
      </w:r>
      <w:r>
        <w:rPr>
          <w:sz w:val="24"/>
        </w:rPr>
        <w:t>de</w:t>
      </w:r>
      <w:r>
        <w:rPr>
          <w:spacing w:val="-2"/>
          <w:sz w:val="24"/>
        </w:rPr>
        <w:t xml:space="preserve"> </w:t>
      </w:r>
      <w:r>
        <w:rPr>
          <w:sz w:val="24"/>
        </w:rPr>
        <w:t>l’affaire</w:t>
      </w:r>
      <w:r>
        <w:rPr>
          <w:spacing w:val="-2"/>
          <w:sz w:val="24"/>
        </w:rPr>
        <w:t xml:space="preserve"> </w:t>
      </w:r>
      <w:r>
        <w:rPr>
          <w:sz w:val="24"/>
        </w:rPr>
        <w:t>à cette</w:t>
      </w:r>
      <w:r>
        <w:rPr>
          <w:spacing w:val="-2"/>
          <w:sz w:val="24"/>
        </w:rPr>
        <w:t xml:space="preserve"> </w:t>
      </w:r>
      <w:r>
        <w:rPr>
          <w:sz w:val="24"/>
        </w:rPr>
        <w:t xml:space="preserve">cour </w:t>
      </w:r>
      <w:r>
        <w:rPr>
          <w:spacing w:val="-10"/>
          <w:sz w:val="24"/>
        </w:rPr>
        <w:t>;</w:t>
      </w:r>
    </w:p>
    <w:p w:rsidR="0086610A" w:rsidRDefault="0086610A">
      <w:pPr>
        <w:pStyle w:val="ListParagraph"/>
        <w:numPr>
          <w:ilvl w:val="0"/>
          <w:numId w:val="1"/>
        </w:numPr>
        <w:tabs>
          <w:tab w:val="left" w:pos="834"/>
        </w:tabs>
        <w:ind w:right="177" w:firstLine="540"/>
        <w:rPr>
          <w:sz w:val="24"/>
        </w:rPr>
      </w:pPr>
      <w:r>
        <w:rPr>
          <w:sz w:val="24"/>
        </w:rPr>
        <w:t>à</w:t>
      </w:r>
      <w:r>
        <w:rPr>
          <w:spacing w:val="35"/>
          <w:sz w:val="24"/>
        </w:rPr>
        <w:t xml:space="preserve"> </w:t>
      </w:r>
      <w:r>
        <w:rPr>
          <w:sz w:val="24"/>
        </w:rPr>
        <w:t>ce</w:t>
      </w:r>
      <w:r>
        <w:rPr>
          <w:spacing w:val="35"/>
          <w:sz w:val="24"/>
        </w:rPr>
        <w:t xml:space="preserve"> </w:t>
      </w:r>
      <w:r>
        <w:rPr>
          <w:sz w:val="24"/>
        </w:rPr>
        <w:t>que</w:t>
      </w:r>
      <w:r>
        <w:rPr>
          <w:spacing w:val="35"/>
          <w:sz w:val="24"/>
        </w:rPr>
        <w:t xml:space="preserve"> </w:t>
      </w:r>
      <w:r>
        <w:rPr>
          <w:sz w:val="24"/>
        </w:rPr>
        <w:t>l’Etat</w:t>
      </w:r>
      <w:r>
        <w:rPr>
          <w:spacing w:val="36"/>
          <w:sz w:val="24"/>
        </w:rPr>
        <w:t xml:space="preserve"> </w:t>
      </w:r>
      <w:r>
        <w:rPr>
          <w:sz w:val="24"/>
        </w:rPr>
        <w:t>verse</w:t>
      </w:r>
      <w:r>
        <w:rPr>
          <w:spacing w:val="37"/>
          <w:sz w:val="24"/>
        </w:rPr>
        <w:t xml:space="preserve"> </w:t>
      </w:r>
      <w:r>
        <w:rPr>
          <w:sz w:val="24"/>
        </w:rPr>
        <w:t>à</w:t>
      </w:r>
      <w:r>
        <w:rPr>
          <w:spacing w:val="35"/>
          <w:sz w:val="24"/>
        </w:rPr>
        <w:t xml:space="preserve"> </w:t>
      </w:r>
      <w:r>
        <w:rPr>
          <w:sz w:val="24"/>
        </w:rPr>
        <w:t>la</w:t>
      </w:r>
      <w:r>
        <w:rPr>
          <w:spacing w:val="35"/>
          <w:sz w:val="24"/>
        </w:rPr>
        <w:t xml:space="preserve"> </w:t>
      </w:r>
      <w:r>
        <w:rPr>
          <w:sz w:val="24"/>
        </w:rPr>
        <w:t>société</w:t>
      </w:r>
      <w:r>
        <w:rPr>
          <w:spacing w:val="35"/>
          <w:sz w:val="24"/>
        </w:rPr>
        <w:t xml:space="preserve"> </w:t>
      </w:r>
      <w:r>
        <w:rPr>
          <w:sz w:val="24"/>
        </w:rPr>
        <w:t>Carmejane</w:t>
      </w:r>
      <w:r>
        <w:rPr>
          <w:spacing w:val="36"/>
          <w:sz w:val="24"/>
        </w:rPr>
        <w:t xml:space="preserve"> </w:t>
      </w:r>
      <w:r>
        <w:rPr>
          <w:sz w:val="24"/>
        </w:rPr>
        <w:t>la</w:t>
      </w:r>
      <w:r>
        <w:rPr>
          <w:spacing w:val="35"/>
          <w:sz w:val="24"/>
        </w:rPr>
        <w:t xml:space="preserve"> </w:t>
      </w:r>
      <w:r>
        <w:rPr>
          <w:sz w:val="24"/>
        </w:rPr>
        <w:t>somme</w:t>
      </w:r>
      <w:r>
        <w:rPr>
          <w:spacing w:val="35"/>
          <w:sz w:val="24"/>
        </w:rPr>
        <w:t xml:space="preserve"> </w:t>
      </w:r>
      <w:r>
        <w:rPr>
          <w:sz w:val="24"/>
        </w:rPr>
        <w:t>de</w:t>
      </w:r>
      <w:r>
        <w:rPr>
          <w:spacing w:val="35"/>
          <w:sz w:val="24"/>
        </w:rPr>
        <w:t xml:space="preserve"> </w:t>
      </w:r>
      <w:r>
        <w:rPr>
          <w:sz w:val="24"/>
        </w:rPr>
        <w:t>3 000</w:t>
      </w:r>
      <w:r>
        <w:rPr>
          <w:spacing w:val="36"/>
          <w:sz w:val="24"/>
        </w:rPr>
        <w:t xml:space="preserve"> </w:t>
      </w:r>
      <w:r>
        <w:rPr>
          <w:sz w:val="24"/>
        </w:rPr>
        <w:t>euros</w:t>
      </w:r>
      <w:r>
        <w:rPr>
          <w:spacing w:val="36"/>
          <w:sz w:val="24"/>
        </w:rPr>
        <w:t xml:space="preserve"> </w:t>
      </w:r>
      <w:r>
        <w:rPr>
          <w:sz w:val="24"/>
        </w:rPr>
        <w:t>au</w:t>
      </w:r>
      <w:r>
        <w:rPr>
          <w:spacing w:val="36"/>
          <w:sz w:val="24"/>
        </w:rPr>
        <w:t xml:space="preserve"> </w:t>
      </w:r>
      <w:r>
        <w:rPr>
          <w:sz w:val="24"/>
        </w:rPr>
        <w:t>titre</w:t>
      </w:r>
      <w:r>
        <w:rPr>
          <w:spacing w:val="34"/>
          <w:sz w:val="24"/>
        </w:rPr>
        <w:t xml:space="preserve"> </w:t>
      </w:r>
      <w:r>
        <w:rPr>
          <w:sz w:val="24"/>
        </w:rPr>
        <w:t>des dispositions de l’article L. 761-1 du code de justice administrative.</w:t>
      </w:r>
    </w:p>
    <w:sectPr w:rsidR="0086610A" w:rsidSect="00F41902">
      <w:pgSz w:w="11910" w:h="16840"/>
      <w:pgMar w:top="1320" w:right="1240" w:bottom="1100" w:left="1300" w:header="0" w:footer="85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0A" w:rsidRDefault="0086610A" w:rsidP="00F41902">
      <w:r>
        <w:separator/>
      </w:r>
    </w:p>
  </w:endnote>
  <w:endnote w:type="continuationSeparator" w:id="0">
    <w:p w:rsidR="0086610A" w:rsidRDefault="0086610A" w:rsidP="00F41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10A" w:rsidRDefault="0086610A">
    <w:pPr>
      <w:pStyle w:val="BodyText"/>
      <w:spacing w:line="14" w:lineRule="auto"/>
      <w:rPr>
        <w:sz w:val="20"/>
      </w:rPr>
    </w:pPr>
    <w:r>
      <w:rPr>
        <w:noProof/>
        <w:lang w:eastAsia="fr-FR"/>
      </w:rPr>
      <w:pict>
        <v:shapetype id="_x0000_t202" coordsize="21600,21600" o:spt="202" path="m,l,21600r21600,l21600,xe">
          <v:stroke joinstyle="miter"/>
          <v:path gradientshapeok="t" o:connecttype="rect"/>
        </v:shapetype>
        <v:shape id="docshape2" o:spid="_x0000_s2049" type="#_x0000_t202" style="position:absolute;margin-left:291.65pt;margin-top:785pt;width:13pt;height:15.3pt;z-index:-251656192;mso-position-horizontal-relative:page;mso-position-vertical-relative:page" filled="f" stroked="f">
          <v:textbox inset="0,0,0,0">
            <w:txbxContent>
              <w:p w:rsidR="0086610A" w:rsidRDefault="0086610A">
                <w:pPr>
                  <w:pStyle w:val="BodyText"/>
                  <w:spacing w:before="10"/>
                  <w:ind w:left="60"/>
                </w:pPr>
                <w:r>
                  <w:rPr>
                    <w:spacing w:val="-10"/>
                  </w:rPr>
                  <w:fldChar w:fldCharType="begin"/>
                </w:r>
                <w:r>
                  <w:rPr>
                    <w:spacing w:val="-10"/>
                  </w:rPr>
                  <w:instrText xml:space="preserve"> PAGE </w:instrText>
                </w:r>
                <w:r>
                  <w:rPr>
                    <w:spacing w:val="-10"/>
                  </w:rPr>
                  <w:fldChar w:fldCharType="separate"/>
                </w:r>
                <w:r>
                  <w:rPr>
                    <w:noProof/>
                    <w:spacing w:val="-10"/>
                  </w:rPr>
                  <w:t>2</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0A" w:rsidRDefault="0086610A" w:rsidP="00F41902">
      <w:r>
        <w:separator/>
      </w:r>
    </w:p>
  </w:footnote>
  <w:footnote w:type="continuationSeparator" w:id="0">
    <w:p w:rsidR="0086610A" w:rsidRDefault="0086610A" w:rsidP="00F419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D7544"/>
    <w:multiLevelType w:val="hybridMultilevel"/>
    <w:tmpl w:val="FFFFFFFF"/>
    <w:lvl w:ilvl="0" w:tplc="0D60605C">
      <w:numFmt w:val="bullet"/>
      <w:lvlText w:val="-"/>
      <w:lvlJc w:val="left"/>
      <w:pPr>
        <w:ind w:left="118" w:hanging="209"/>
      </w:pPr>
      <w:rPr>
        <w:rFonts w:ascii="Times New Roman" w:eastAsia="Times New Roman" w:hAnsi="Times New Roman" w:hint="default"/>
        <w:b w:val="0"/>
        <w:i w:val="0"/>
        <w:spacing w:val="0"/>
        <w:w w:val="100"/>
        <w:sz w:val="24"/>
      </w:rPr>
    </w:lvl>
    <w:lvl w:ilvl="1" w:tplc="437C4CDC">
      <w:numFmt w:val="bullet"/>
      <w:lvlText w:val="•"/>
      <w:lvlJc w:val="left"/>
      <w:pPr>
        <w:ind w:left="1044" w:hanging="209"/>
      </w:pPr>
      <w:rPr>
        <w:rFonts w:hint="default"/>
      </w:rPr>
    </w:lvl>
    <w:lvl w:ilvl="2" w:tplc="105E43AE">
      <w:numFmt w:val="bullet"/>
      <w:lvlText w:val="•"/>
      <w:lvlJc w:val="left"/>
      <w:pPr>
        <w:ind w:left="1969" w:hanging="209"/>
      </w:pPr>
      <w:rPr>
        <w:rFonts w:hint="default"/>
      </w:rPr>
    </w:lvl>
    <w:lvl w:ilvl="3" w:tplc="EC2E27F6">
      <w:numFmt w:val="bullet"/>
      <w:lvlText w:val="•"/>
      <w:lvlJc w:val="left"/>
      <w:pPr>
        <w:ind w:left="2893" w:hanging="209"/>
      </w:pPr>
      <w:rPr>
        <w:rFonts w:hint="default"/>
      </w:rPr>
    </w:lvl>
    <w:lvl w:ilvl="4" w:tplc="6680AFEA">
      <w:numFmt w:val="bullet"/>
      <w:lvlText w:val="•"/>
      <w:lvlJc w:val="left"/>
      <w:pPr>
        <w:ind w:left="3818" w:hanging="209"/>
      </w:pPr>
      <w:rPr>
        <w:rFonts w:hint="default"/>
      </w:rPr>
    </w:lvl>
    <w:lvl w:ilvl="5" w:tplc="1262B1BA">
      <w:numFmt w:val="bullet"/>
      <w:lvlText w:val="•"/>
      <w:lvlJc w:val="left"/>
      <w:pPr>
        <w:ind w:left="4743" w:hanging="209"/>
      </w:pPr>
      <w:rPr>
        <w:rFonts w:hint="default"/>
      </w:rPr>
    </w:lvl>
    <w:lvl w:ilvl="6" w:tplc="B1F0DF6A">
      <w:numFmt w:val="bullet"/>
      <w:lvlText w:val="•"/>
      <w:lvlJc w:val="left"/>
      <w:pPr>
        <w:ind w:left="5667" w:hanging="209"/>
      </w:pPr>
      <w:rPr>
        <w:rFonts w:hint="default"/>
      </w:rPr>
    </w:lvl>
    <w:lvl w:ilvl="7" w:tplc="8634D9B0">
      <w:numFmt w:val="bullet"/>
      <w:lvlText w:val="•"/>
      <w:lvlJc w:val="left"/>
      <w:pPr>
        <w:ind w:left="6592" w:hanging="209"/>
      </w:pPr>
      <w:rPr>
        <w:rFonts w:hint="default"/>
      </w:rPr>
    </w:lvl>
    <w:lvl w:ilvl="8" w:tplc="B1D0E4D8">
      <w:numFmt w:val="bullet"/>
      <w:lvlText w:val="•"/>
      <w:lvlJc w:val="left"/>
      <w:pPr>
        <w:ind w:left="7517" w:hanging="20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1902"/>
    <w:rsid w:val="00572BE7"/>
    <w:rsid w:val="0069575E"/>
    <w:rsid w:val="0086610A"/>
    <w:rsid w:val="00D22A2A"/>
    <w:rsid w:val="00F4190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902"/>
    <w:pPr>
      <w:widowControl w:val="0"/>
      <w:autoSpaceDE w:val="0"/>
      <w:autoSpaceDN w:val="0"/>
    </w:pPr>
    <w:rPr>
      <w:rFonts w:ascii="Times New Roman" w:eastAsia="Times New Roman" w:hAnsi="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41902"/>
    <w:rPr>
      <w:sz w:val="24"/>
      <w:szCs w:val="24"/>
    </w:rPr>
  </w:style>
  <w:style w:type="character" w:customStyle="1" w:styleId="BodyTextChar">
    <w:name w:val="Body Text Char"/>
    <w:basedOn w:val="DefaultParagraphFont"/>
    <w:link w:val="BodyText"/>
    <w:uiPriority w:val="99"/>
    <w:semiHidden/>
    <w:rsid w:val="00A16779"/>
    <w:rPr>
      <w:rFonts w:ascii="Times New Roman" w:eastAsia="Times New Roman" w:hAnsi="Times New Roman"/>
      <w:lang w:eastAsia="en-US"/>
    </w:rPr>
  </w:style>
  <w:style w:type="paragraph" w:styleId="ListParagraph">
    <w:name w:val="List Paragraph"/>
    <w:basedOn w:val="Normal"/>
    <w:uiPriority w:val="99"/>
    <w:qFormat/>
    <w:rsid w:val="00F41902"/>
    <w:pPr>
      <w:spacing w:before="120"/>
      <w:ind w:left="118" w:firstLine="540"/>
    </w:pPr>
  </w:style>
  <w:style w:type="paragraph" w:customStyle="1" w:styleId="TableParagraph">
    <w:name w:val="Table Paragraph"/>
    <w:basedOn w:val="Normal"/>
    <w:uiPriority w:val="99"/>
    <w:rsid w:val="00F419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1733</Words>
  <Characters>9534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présente affaire</dc:title>
  <dc:subject/>
  <dc:creator>Karin Ciavaldini</dc:creator>
  <cp:keywords/>
  <dc:description/>
  <cp:lastModifiedBy>p</cp:lastModifiedBy>
  <cp:revision>2</cp:revision>
  <dcterms:created xsi:type="dcterms:W3CDTF">2023-11-20T17:34:00Z</dcterms:created>
  <dcterms:modified xsi:type="dcterms:W3CDTF">2023-11-20T17:34:00Z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Producer">
    <vt:lpwstr>3-Heights(TM) PDF Security Shell 4.8.25.2 (http://www.pdf-tools.com)</vt:lpwstr>
  </property>
</Properties>
</file>