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6F" w:rsidRDefault="006A416F">
      <w:pPr>
        <w:spacing w:after="0"/>
        <w:jc w:val="center"/>
        <w:rPr>
          <w:rFonts w:ascii="Times New Roman" w:hAnsi="Times New Roman"/>
          <w:b/>
          <w:caps/>
          <w:sz w:val="28"/>
          <w:szCs w:val="28"/>
        </w:rPr>
      </w:pPr>
    </w:p>
    <w:p w:rsidR="006A416F" w:rsidRPr="00F0728A" w:rsidRDefault="006A416F" w:rsidP="0003128A">
      <w:pPr>
        <w:spacing w:after="0"/>
        <w:jc w:val="center"/>
        <w:rPr>
          <w:rFonts w:ascii="Times New Roman" w:hAnsi="Times New Roman"/>
          <w:sz w:val="24"/>
          <w:szCs w:val="24"/>
        </w:rPr>
      </w:pPr>
      <w:r w:rsidRPr="00304D42">
        <w:rPr>
          <w:rFonts w:ascii="Times New Roman" w:hAnsi="Times New Roman"/>
          <w:b/>
          <w:caps/>
          <w:sz w:val="24"/>
          <w:szCs w:val="24"/>
        </w:rPr>
        <w:t>accord national interprofessionnel du 11 janvier 2013 POUR UN NOUVEAU MODELE ECONOMIQUE ET SOCIAL  AU SERVICE DE LA COMPETITIVITE DES ENTREPRISES ET DE LA SECURISATION DE L’EMPLOI ET DES PARCOURS PROFESSIONNELS DES SALARIES</w:t>
      </w:r>
    </w:p>
    <w:p w:rsidR="006A416F"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DE4F83" w:rsidRDefault="006A416F">
      <w:pPr>
        <w:spacing w:after="0"/>
        <w:jc w:val="both"/>
        <w:rPr>
          <w:rFonts w:ascii="Times New Roman" w:hAnsi="Times New Roman"/>
          <w:b/>
          <w:caps/>
          <w:sz w:val="24"/>
          <w:szCs w:val="24"/>
          <w:u w:val="single"/>
        </w:rPr>
      </w:pPr>
      <w:r w:rsidRPr="00DE4F83">
        <w:rPr>
          <w:rFonts w:ascii="Times New Roman" w:hAnsi="Times New Roman"/>
          <w:b/>
          <w:caps/>
          <w:sz w:val="24"/>
          <w:szCs w:val="24"/>
          <w:u w:val="single"/>
        </w:rPr>
        <w:t>Titre I – Créer de nouveaux droits pour les salariés afin de sécuriser les parcours professionnels</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b/>
          <w:sz w:val="24"/>
          <w:szCs w:val="24"/>
        </w:rPr>
      </w:pPr>
    </w:p>
    <w:p w:rsidR="006A416F" w:rsidRDefault="006A416F">
      <w:pPr>
        <w:spacing w:after="0"/>
        <w:jc w:val="both"/>
        <w:rPr>
          <w:rFonts w:ascii="Times New Roman" w:hAnsi="Times New Roman"/>
          <w:b/>
          <w:bCs/>
          <w:sz w:val="24"/>
          <w:szCs w:val="24"/>
        </w:rPr>
      </w:pPr>
      <w:r w:rsidRPr="00F0728A">
        <w:rPr>
          <w:rFonts w:ascii="Times New Roman" w:hAnsi="Times New Roman"/>
          <w:b/>
          <w:bCs/>
          <w:sz w:val="24"/>
          <w:szCs w:val="24"/>
          <w:u w:val="single"/>
        </w:rPr>
        <w:t>Article 1</w:t>
      </w:r>
      <w:r w:rsidRPr="00F0728A">
        <w:rPr>
          <w:rFonts w:ascii="Times New Roman" w:hAnsi="Times New Roman"/>
          <w:b/>
          <w:bCs/>
          <w:sz w:val="24"/>
          <w:szCs w:val="24"/>
        </w:rPr>
        <w:t xml:space="preserve"> – Généralisation de la couverture complémentaire des frais de santé</w:t>
      </w:r>
    </w:p>
    <w:p w:rsidR="006A416F" w:rsidRDefault="006A416F">
      <w:pPr>
        <w:spacing w:after="0"/>
        <w:jc w:val="both"/>
        <w:rPr>
          <w:rFonts w:ascii="Times New Roman" w:hAnsi="Times New Roman"/>
          <w:b/>
          <w:bCs/>
          <w:sz w:val="24"/>
          <w:szCs w:val="24"/>
        </w:rPr>
      </w:pPr>
    </w:p>
    <w:p w:rsidR="006A416F" w:rsidRPr="003B3B95" w:rsidRDefault="006A416F" w:rsidP="003E3A9D">
      <w:pPr>
        <w:spacing w:after="0"/>
        <w:jc w:val="both"/>
        <w:rPr>
          <w:rFonts w:ascii="Times New Roman" w:hAnsi="Times New Roman"/>
          <w:sz w:val="24"/>
          <w:szCs w:val="24"/>
        </w:rPr>
      </w:pPr>
      <w:r>
        <w:rPr>
          <w:rFonts w:ascii="Times New Roman" w:hAnsi="Times New Roman"/>
          <w:sz w:val="24"/>
          <w:szCs w:val="24"/>
        </w:rPr>
        <w:t>L</w:t>
      </w:r>
      <w:r w:rsidRPr="003B3B95">
        <w:rPr>
          <w:rFonts w:ascii="Times New Roman" w:hAnsi="Times New Roman"/>
          <w:sz w:val="24"/>
          <w:szCs w:val="24"/>
        </w:rPr>
        <w:t>es parties signataires sont convenues que :</w:t>
      </w:r>
    </w:p>
    <w:p w:rsidR="006A416F" w:rsidRPr="003B3B95" w:rsidRDefault="006A416F" w:rsidP="003E3A9D">
      <w:pPr>
        <w:spacing w:after="0"/>
        <w:jc w:val="both"/>
        <w:rPr>
          <w:rFonts w:ascii="Times New Roman" w:hAnsi="Times New Roman"/>
          <w:sz w:val="24"/>
          <w:szCs w:val="24"/>
        </w:rPr>
      </w:pPr>
    </w:p>
    <w:p w:rsidR="006A416F" w:rsidRPr="003B3B95" w:rsidRDefault="006A416F" w:rsidP="003E3A9D">
      <w:pPr>
        <w:spacing w:after="0"/>
        <w:jc w:val="both"/>
        <w:rPr>
          <w:rFonts w:ascii="Times New Roman" w:hAnsi="Times New Roman"/>
          <w:sz w:val="24"/>
          <w:szCs w:val="24"/>
        </w:rPr>
      </w:pPr>
      <w:r w:rsidRPr="003B3B95">
        <w:rPr>
          <w:rFonts w:ascii="Times New Roman" w:hAnsi="Times New Roman"/>
          <w:sz w:val="24"/>
          <w:szCs w:val="24"/>
        </w:rPr>
        <w:t xml:space="preserve">1°/ Les branches professionnelles ouvriront des négociations avant le </w:t>
      </w:r>
      <w:r>
        <w:rPr>
          <w:rFonts w:ascii="Times New Roman" w:hAnsi="Times New Roman"/>
          <w:sz w:val="24"/>
          <w:szCs w:val="24"/>
        </w:rPr>
        <w:t>1</w:t>
      </w:r>
      <w:r w:rsidRPr="003B3B95">
        <w:rPr>
          <w:rFonts w:ascii="Times New Roman" w:hAnsi="Times New Roman"/>
          <w:sz w:val="24"/>
          <w:szCs w:val="24"/>
          <w:vertAlign w:val="superscript"/>
        </w:rPr>
        <w:t>er</w:t>
      </w:r>
      <w:r>
        <w:rPr>
          <w:rFonts w:ascii="Times New Roman" w:hAnsi="Times New Roman"/>
          <w:sz w:val="24"/>
          <w:szCs w:val="24"/>
        </w:rPr>
        <w:t xml:space="preserve"> avril </w:t>
      </w:r>
      <w:r w:rsidRPr="003B3B95">
        <w:rPr>
          <w:rFonts w:ascii="Times New Roman" w:hAnsi="Times New Roman"/>
          <w:sz w:val="24"/>
          <w:szCs w:val="24"/>
        </w:rPr>
        <w:t xml:space="preserve">2013, en vue de permettre aux salariés qui ne bénéficient pas encore d’une couverture collective à adhésion obligatoire en matière de remboursements complémentaires de frais de santé au niveau de leur branche ou de leur entreprise, d’accéder à une telle couverture. </w:t>
      </w:r>
    </w:p>
    <w:p w:rsidR="006A416F" w:rsidRPr="003B3B95" w:rsidRDefault="006A416F" w:rsidP="003E3A9D">
      <w:pPr>
        <w:spacing w:after="0"/>
        <w:jc w:val="both"/>
        <w:rPr>
          <w:rFonts w:ascii="Times New Roman" w:hAnsi="Times New Roman"/>
          <w:sz w:val="24"/>
          <w:szCs w:val="24"/>
        </w:rPr>
      </w:pPr>
    </w:p>
    <w:p w:rsidR="006A416F" w:rsidRPr="003B3B95" w:rsidRDefault="006A416F" w:rsidP="003E3A9D">
      <w:pPr>
        <w:spacing w:after="0"/>
        <w:jc w:val="both"/>
        <w:rPr>
          <w:rFonts w:ascii="Times New Roman" w:hAnsi="Times New Roman"/>
          <w:sz w:val="24"/>
          <w:szCs w:val="24"/>
        </w:rPr>
      </w:pPr>
      <w:r w:rsidRPr="003B3B95">
        <w:rPr>
          <w:rFonts w:ascii="Times New Roman" w:hAnsi="Times New Roman"/>
          <w:sz w:val="24"/>
          <w:szCs w:val="24"/>
        </w:rPr>
        <w:t>Dans le cadre des futurs accords de branche qui seront signés pour parvenir à cet objectif :</w:t>
      </w:r>
    </w:p>
    <w:p w:rsidR="006A416F" w:rsidRPr="003B3B95" w:rsidRDefault="006A416F" w:rsidP="003E3A9D">
      <w:pPr>
        <w:spacing w:after="0"/>
        <w:jc w:val="both"/>
        <w:rPr>
          <w:rFonts w:ascii="Times New Roman" w:hAnsi="Times New Roman"/>
          <w:sz w:val="24"/>
          <w:szCs w:val="24"/>
        </w:rPr>
      </w:pPr>
    </w:p>
    <w:p w:rsidR="006A416F" w:rsidRPr="00304D42" w:rsidRDefault="006A416F" w:rsidP="00890432">
      <w:pPr>
        <w:spacing w:after="0"/>
        <w:ind w:firstLine="708"/>
        <w:jc w:val="both"/>
        <w:rPr>
          <w:rFonts w:ascii="Times New Roman" w:hAnsi="Times New Roman"/>
          <w:sz w:val="24"/>
          <w:szCs w:val="24"/>
        </w:rPr>
      </w:pPr>
      <w:r w:rsidRPr="003B3B95">
        <w:rPr>
          <w:rFonts w:ascii="Times New Roman" w:hAnsi="Times New Roman"/>
          <w:sz w:val="24"/>
          <w:szCs w:val="24"/>
        </w:rPr>
        <w:t>-</w:t>
      </w:r>
      <w:r w:rsidRPr="003B3B95">
        <w:rPr>
          <w:rFonts w:ascii="Times New Roman" w:hAnsi="Times New Roman"/>
          <w:sz w:val="24"/>
          <w:szCs w:val="24"/>
        </w:rPr>
        <w:tab/>
        <w:t xml:space="preserve">les partenaires sociaux de la branche </w:t>
      </w:r>
      <w:r>
        <w:rPr>
          <w:rFonts w:ascii="Times New Roman" w:hAnsi="Times New Roman"/>
          <w:sz w:val="24"/>
          <w:szCs w:val="24"/>
        </w:rPr>
        <w:t xml:space="preserve">laisseront </w:t>
      </w:r>
      <w:r w:rsidRPr="003B3B95">
        <w:rPr>
          <w:rFonts w:ascii="Times New Roman" w:hAnsi="Times New Roman"/>
          <w:sz w:val="24"/>
          <w:szCs w:val="24"/>
        </w:rPr>
        <w:t xml:space="preserve"> aux entreprises la liberté de retenir le ou les organismes assureurs de leur choix. Toutefois, ils pourront, s’ils le souhaitent, recommander aux entreprises de s’adresser à un ou plusieurs organismes assureurs</w:t>
      </w:r>
      <w:r w:rsidRPr="00723FB3">
        <w:t xml:space="preserve"> </w:t>
      </w:r>
      <w:r w:rsidRPr="00723FB3">
        <w:rPr>
          <w:rFonts w:ascii="Times New Roman" w:hAnsi="Times New Roman"/>
          <w:sz w:val="24"/>
          <w:szCs w:val="24"/>
        </w:rPr>
        <w:t>ou institutions pouvant garantir cette couverture</w:t>
      </w:r>
      <w:r>
        <w:rPr>
          <w:rFonts w:ascii="Times New Roman" w:hAnsi="Times New Roman"/>
          <w:sz w:val="24"/>
          <w:szCs w:val="24"/>
        </w:rPr>
        <w:t xml:space="preserve">  </w:t>
      </w:r>
      <w:r w:rsidRPr="003B3B95">
        <w:rPr>
          <w:rFonts w:ascii="Times New Roman" w:hAnsi="Times New Roman"/>
          <w:sz w:val="24"/>
          <w:szCs w:val="24"/>
        </w:rPr>
        <w:t xml:space="preserve">après mise en œuvre d’une procédure transparente </w:t>
      </w:r>
      <w:r>
        <w:rPr>
          <w:rFonts w:ascii="Times New Roman" w:hAnsi="Times New Roman"/>
          <w:sz w:val="24"/>
          <w:szCs w:val="24"/>
        </w:rPr>
        <w:t>de mise en concurrence</w:t>
      </w:r>
      <w:r w:rsidRPr="003B3B95">
        <w:rPr>
          <w:rStyle w:val="FootnoteReference"/>
          <w:rFonts w:ascii="Times New Roman" w:hAnsi="Times New Roman"/>
          <w:sz w:val="24"/>
          <w:szCs w:val="24"/>
        </w:rPr>
        <w:footnoteReference w:id="1"/>
      </w:r>
      <w:r>
        <w:rPr>
          <w:rFonts w:ascii="Times New Roman" w:hAnsi="Times New Roman"/>
          <w:sz w:val="24"/>
          <w:szCs w:val="24"/>
        </w:rPr>
        <w:t xml:space="preserve">. </w:t>
      </w:r>
      <w:r w:rsidRPr="00304D42">
        <w:rPr>
          <w:rFonts w:ascii="Times New Roman" w:hAnsi="Times New Roman"/>
          <w:sz w:val="24"/>
          <w:szCs w:val="24"/>
        </w:rPr>
        <w:t>Les accords de branche pourront définir, quels que soient les organismes éventuellement recommandés, les contributions dédiées au financement de l’objectif de solidarité, notamment pour l’action sociale et la constitution de droits non contributifs.</w:t>
      </w:r>
    </w:p>
    <w:p w:rsidR="006A416F" w:rsidRDefault="006A416F" w:rsidP="003E3A9D">
      <w:pPr>
        <w:spacing w:after="0"/>
        <w:ind w:firstLine="708"/>
        <w:jc w:val="both"/>
        <w:rPr>
          <w:rFonts w:ascii="Times New Roman" w:hAnsi="Times New Roman"/>
          <w:sz w:val="24"/>
          <w:szCs w:val="24"/>
        </w:rPr>
      </w:pPr>
    </w:p>
    <w:p w:rsidR="006A416F" w:rsidRPr="003B3B95" w:rsidRDefault="006A416F" w:rsidP="003E3A9D">
      <w:pPr>
        <w:spacing w:after="0"/>
        <w:ind w:firstLine="708"/>
        <w:jc w:val="both"/>
        <w:rPr>
          <w:rFonts w:ascii="Times New Roman" w:hAnsi="Times New Roman"/>
          <w:sz w:val="24"/>
          <w:szCs w:val="24"/>
        </w:rPr>
      </w:pPr>
    </w:p>
    <w:p w:rsidR="006A416F" w:rsidRPr="003B3B95" w:rsidRDefault="006A416F" w:rsidP="003E3A9D">
      <w:pPr>
        <w:spacing w:after="0"/>
        <w:ind w:firstLine="708"/>
        <w:jc w:val="both"/>
        <w:rPr>
          <w:rFonts w:ascii="Times New Roman" w:hAnsi="Times New Roman"/>
          <w:sz w:val="24"/>
          <w:szCs w:val="24"/>
        </w:rPr>
      </w:pPr>
      <w:r w:rsidRPr="003B3B95">
        <w:rPr>
          <w:rFonts w:ascii="Times New Roman" w:hAnsi="Times New Roman"/>
          <w:sz w:val="24"/>
          <w:szCs w:val="24"/>
        </w:rPr>
        <w:t>-</w:t>
      </w:r>
      <w:r w:rsidRPr="003B3B95">
        <w:rPr>
          <w:rFonts w:ascii="Times New Roman" w:hAnsi="Times New Roman"/>
          <w:sz w:val="24"/>
          <w:szCs w:val="24"/>
        </w:rPr>
        <w:tab/>
        <w:t>les accords préciseront, le cas échéant, les cas de dispenses d’affiliation tels que définis à l’article R. 242-1-6 du code de la Sécurité sociale</w:t>
      </w:r>
      <w:r>
        <w:rPr>
          <w:rStyle w:val="FootnoteReference"/>
          <w:rFonts w:ascii="Times New Roman" w:hAnsi="Times New Roman"/>
          <w:sz w:val="24"/>
          <w:szCs w:val="24"/>
        </w:rPr>
        <w:footnoteReference w:id="2"/>
      </w:r>
      <w:r w:rsidRPr="003B3B95">
        <w:rPr>
          <w:rFonts w:ascii="Times New Roman" w:hAnsi="Times New Roman"/>
          <w:sz w:val="24"/>
          <w:szCs w:val="24"/>
        </w:rPr>
        <w:t xml:space="preserve">. </w:t>
      </w:r>
    </w:p>
    <w:p w:rsidR="006A416F" w:rsidRPr="003B3B95" w:rsidRDefault="006A416F" w:rsidP="003E3A9D">
      <w:pPr>
        <w:spacing w:after="0"/>
        <w:jc w:val="both"/>
        <w:rPr>
          <w:rFonts w:ascii="Times New Roman" w:hAnsi="Times New Roman"/>
          <w:sz w:val="24"/>
          <w:szCs w:val="24"/>
        </w:rPr>
      </w:pPr>
    </w:p>
    <w:p w:rsidR="006A416F" w:rsidRDefault="006A416F" w:rsidP="003E3A9D">
      <w:pPr>
        <w:spacing w:after="0"/>
        <w:jc w:val="both"/>
        <w:rPr>
          <w:rFonts w:ascii="Times New Roman" w:hAnsi="Times New Roman"/>
          <w:sz w:val="24"/>
          <w:szCs w:val="24"/>
        </w:rPr>
      </w:pPr>
      <w:r>
        <w:rPr>
          <w:rFonts w:ascii="Times New Roman" w:hAnsi="Times New Roman"/>
          <w:sz w:val="24"/>
          <w:szCs w:val="24"/>
        </w:rPr>
        <w:t>Les futurs accords devront impérativement laisser aux entreprises un délai de 18 mois afin de leur permettre de se conformer aux nouvelles obligations conventionnelles ; mais en tout état de cause, c</w:t>
      </w:r>
      <w:r w:rsidRPr="003B3B95">
        <w:rPr>
          <w:rFonts w:ascii="Times New Roman" w:hAnsi="Times New Roman"/>
          <w:sz w:val="24"/>
          <w:szCs w:val="24"/>
        </w:rPr>
        <w:t xml:space="preserve">es accords devront entrer en vigueur au sein des entreprises concernées au plus tard le </w:t>
      </w:r>
      <w:r>
        <w:rPr>
          <w:rFonts w:ascii="Times New Roman" w:hAnsi="Times New Roman"/>
          <w:sz w:val="24"/>
          <w:szCs w:val="24"/>
        </w:rPr>
        <w:t>1</w:t>
      </w:r>
      <w:r w:rsidRPr="004A46E4">
        <w:rPr>
          <w:rFonts w:ascii="Times New Roman" w:hAnsi="Times New Roman"/>
          <w:sz w:val="24"/>
          <w:szCs w:val="24"/>
          <w:vertAlign w:val="superscript"/>
        </w:rPr>
        <w:t>er</w:t>
      </w:r>
      <w:r>
        <w:rPr>
          <w:rFonts w:ascii="Times New Roman" w:hAnsi="Times New Roman"/>
          <w:sz w:val="24"/>
          <w:szCs w:val="24"/>
        </w:rPr>
        <w:t xml:space="preserve"> janvier</w:t>
      </w:r>
      <w:r w:rsidRPr="003B3B95">
        <w:rPr>
          <w:rFonts w:ascii="Times New Roman" w:hAnsi="Times New Roman"/>
          <w:sz w:val="24"/>
          <w:szCs w:val="24"/>
        </w:rPr>
        <w:t xml:space="preserve"> 201</w:t>
      </w:r>
      <w:r>
        <w:rPr>
          <w:rFonts w:ascii="Times New Roman" w:hAnsi="Times New Roman"/>
          <w:sz w:val="24"/>
          <w:szCs w:val="24"/>
        </w:rPr>
        <w:t>6</w:t>
      </w:r>
      <w:r w:rsidRPr="003B3B95">
        <w:rPr>
          <w:rFonts w:ascii="Times New Roman" w:hAnsi="Times New Roman"/>
          <w:sz w:val="24"/>
          <w:szCs w:val="24"/>
        </w:rPr>
        <w:t>.</w:t>
      </w:r>
      <w:r>
        <w:rPr>
          <w:rFonts w:ascii="Times New Roman" w:hAnsi="Times New Roman"/>
          <w:sz w:val="24"/>
          <w:szCs w:val="24"/>
        </w:rPr>
        <w:t xml:space="preserve"> </w:t>
      </w:r>
      <w:r>
        <w:rPr>
          <w:rStyle w:val="FootnoteReference"/>
          <w:rFonts w:ascii="Times New Roman" w:hAnsi="Times New Roman"/>
          <w:sz w:val="24"/>
          <w:szCs w:val="24"/>
        </w:rPr>
        <w:footnoteReference w:id="3"/>
      </w:r>
    </w:p>
    <w:p w:rsidR="006A416F" w:rsidRDefault="006A416F" w:rsidP="003E3A9D">
      <w:pPr>
        <w:spacing w:after="0"/>
        <w:jc w:val="both"/>
        <w:rPr>
          <w:rFonts w:ascii="Times New Roman" w:hAnsi="Times New Roman"/>
          <w:sz w:val="24"/>
          <w:szCs w:val="24"/>
        </w:rPr>
      </w:pPr>
    </w:p>
    <w:p w:rsidR="006A416F" w:rsidRDefault="006A416F" w:rsidP="003E3A9D">
      <w:pPr>
        <w:spacing w:after="0"/>
        <w:jc w:val="both"/>
        <w:rPr>
          <w:rFonts w:ascii="Times New Roman" w:hAnsi="Times New Roman"/>
          <w:sz w:val="24"/>
          <w:szCs w:val="24"/>
        </w:rPr>
      </w:pPr>
      <w:r w:rsidRPr="003B3B95">
        <w:rPr>
          <w:rFonts w:ascii="Times New Roman" w:hAnsi="Times New Roman"/>
          <w:sz w:val="24"/>
          <w:szCs w:val="24"/>
        </w:rPr>
        <w:t xml:space="preserve">2°/ </w:t>
      </w:r>
    </w:p>
    <w:p w:rsidR="006A416F" w:rsidRPr="00723FB3" w:rsidRDefault="006A416F" w:rsidP="00723FB3">
      <w:pPr>
        <w:pStyle w:val="ListParagraph"/>
        <w:numPr>
          <w:ilvl w:val="0"/>
          <w:numId w:val="50"/>
        </w:numPr>
        <w:spacing w:after="0"/>
        <w:ind w:left="0" w:firstLine="0"/>
        <w:jc w:val="both"/>
        <w:rPr>
          <w:rFonts w:ascii="Times New Roman" w:hAnsi="Times New Roman"/>
          <w:sz w:val="24"/>
          <w:szCs w:val="24"/>
        </w:rPr>
      </w:pPr>
      <w:r w:rsidRPr="00723FB3">
        <w:rPr>
          <w:rFonts w:ascii="Times New Roman" w:hAnsi="Times New Roman"/>
          <w:sz w:val="24"/>
          <w:szCs w:val="24"/>
        </w:rPr>
        <w:t>A défaut d’accord de branche signé avant le 1</w:t>
      </w:r>
      <w:r w:rsidRPr="00723FB3">
        <w:rPr>
          <w:rFonts w:ascii="Times New Roman" w:hAnsi="Times New Roman"/>
          <w:sz w:val="24"/>
          <w:szCs w:val="24"/>
          <w:vertAlign w:val="superscript"/>
        </w:rPr>
        <w:t>er</w:t>
      </w:r>
      <w:r w:rsidRPr="00723FB3">
        <w:rPr>
          <w:rFonts w:ascii="Times New Roman" w:hAnsi="Times New Roman"/>
          <w:sz w:val="24"/>
          <w:szCs w:val="24"/>
        </w:rPr>
        <w:t xml:space="preserve"> </w:t>
      </w:r>
      <w:r>
        <w:rPr>
          <w:rFonts w:ascii="Times New Roman" w:hAnsi="Times New Roman"/>
          <w:sz w:val="24"/>
          <w:szCs w:val="24"/>
        </w:rPr>
        <w:t>juillet</w:t>
      </w:r>
      <w:r w:rsidRPr="00723FB3">
        <w:rPr>
          <w:rFonts w:ascii="Times New Roman" w:hAnsi="Times New Roman"/>
          <w:sz w:val="24"/>
          <w:szCs w:val="24"/>
        </w:rPr>
        <w:t xml:space="preserve"> 201</w:t>
      </w:r>
      <w:r>
        <w:rPr>
          <w:rFonts w:ascii="Times New Roman" w:hAnsi="Times New Roman"/>
          <w:sz w:val="24"/>
          <w:szCs w:val="24"/>
        </w:rPr>
        <w:t>4</w:t>
      </w:r>
      <w:r w:rsidRPr="00723FB3">
        <w:rPr>
          <w:rFonts w:ascii="Times New Roman" w:hAnsi="Times New Roman"/>
          <w:sz w:val="24"/>
          <w:szCs w:val="24"/>
        </w:rPr>
        <w:t xml:space="preserve">, et afin de parvenir à l’objectif de généralisation fixé au 1er paragraphe du 1°/ du présent article, les entreprises non couvertes relevant de telles branches ouvriront des négociations dans le cadre de l’obligation annuelle de négocier sur la prévoyance prévue à l’article L.2242-11 du code du Travail. </w:t>
      </w:r>
    </w:p>
    <w:p w:rsidR="006A416F" w:rsidRPr="003B3B95" w:rsidRDefault="006A416F" w:rsidP="003E3A9D">
      <w:pPr>
        <w:spacing w:after="0"/>
        <w:jc w:val="both"/>
        <w:rPr>
          <w:rFonts w:ascii="Times New Roman" w:hAnsi="Times New Roman"/>
          <w:sz w:val="24"/>
          <w:szCs w:val="24"/>
        </w:rPr>
      </w:pPr>
    </w:p>
    <w:p w:rsidR="006A416F" w:rsidRPr="00723FB3" w:rsidRDefault="006A416F" w:rsidP="00723FB3">
      <w:pPr>
        <w:pStyle w:val="ListParagraph"/>
        <w:numPr>
          <w:ilvl w:val="0"/>
          <w:numId w:val="50"/>
        </w:numPr>
        <w:spacing w:after="0"/>
        <w:ind w:left="0" w:firstLine="0"/>
        <w:jc w:val="both"/>
        <w:rPr>
          <w:rFonts w:ascii="Times New Roman" w:hAnsi="Times New Roman"/>
          <w:sz w:val="24"/>
          <w:szCs w:val="24"/>
        </w:rPr>
      </w:pPr>
      <w:r w:rsidRPr="00723FB3">
        <w:rPr>
          <w:rFonts w:ascii="Times New Roman" w:hAnsi="Times New Roman"/>
          <w:sz w:val="24"/>
          <w:szCs w:val="24"/>
        </w:rPr>
        <w:t xml:space="preserve">A défaut d’accord d’entreprise, les entreprises visées au premier paragraphe du 2° seront alors tenues, au plus tard à compter du 1er </w:t>
      </w:r>
      <w:r>
        <w:rPr>
          <w:rFonts w:ascii="Times New Roman" w:hAnsi="Times New Roman"/>
          <w:sz w:val="24"/>
          <w:szCs w:val="24"/>
        </w:rPr>
        <w:t>janvier</w:t>
      </w:r>
      <w:r w:rsidRPr="00723FB3">
        <w:rPr>
          <w:rFonts w:ascii="Times New Roman" w:hAnsi="Times New Roman"/>
          <w:sz w:val="24"/>
          <w:szCs w:val="24"/>
        </w:rPr>
        <w:t xml:space="preserve"> 2016, de faire bénéficier leurs salariés d’une couverture collective de frais de santé couvrant au minimum, pour le seul salarié, un panier de soins </w:t>
      </w:r>
      <w:r>
        <w:rPr>
          <w:rFonts w:ascii="Times New Roman" w:hAnsi="Times New Roman"/>
          <w:sz w:val="24"/>
          <w:szCs w:val="24"/>
        </w:rPr>
        <w:t>défini comme suit :</w:t>
      </w:r>
      <w:r w:rsidRPr="00723FB3">
        <w:rPr>
          <w:rFonts w:ascii="Times New Roman" w:hAnsi="Times New Roman"/>
          <w:sz w:val="24"/>
          <w:szCs w:val="24"/>
        </w:rPr>
        <w:t xml:space="preserve"> 100% de la base de remboursement des consultations, actes techniques et pharmacie en ville et à l'hôpital, le forfait journalier hospitalier, 125% de la base de remboursement des prothèses dentaires et un forfait optique de 100 € par an)</w:t>
      </w:r>
      <w:r w:rsidRPr="00723FB3">
        <w:footnoteReference w:id="4"/>
      </w:r>
      <w:r w:rsidRPr="00723FB3">
        <w:rPr>
          <w:rFonts w:ascii="Times New Roman" w:hAnsi="Times New Roman"/>
          <w:sz w:val="24"/>
          <w:szCs w:val="24"/>
        </w:rPr>
        <w:t>.</w:t>
      </w:r>
    </w:p>
    <w:p w:rsidR="006A416F" w:rsidRPr="003B3B95" w:rsidRDefault="006A416F" w:rsidP="003E3A9D">
      <w:pPr>
        <w:spacing w:after="0"/>
        <w:jc w:val="both"/>
        <w:rPr>
          <w:rFonts w:ascii="Times New Roman" w:hAnsi="Times New Roman"/>
          <w:sz w:val="24"/>
          <w:szCs w:val="24"/>
        </w:rPr>
      </w:pPr>
    </w:p>
    <w:p w:rsidR="006A416F" w:rsidRPr="003B3B95" w:rsidRDefault="006A416F" w:rsidP="003E3A9D">
      <w:pPr>
        <w:spacing w:after="0"/>
        <w:jc w:val="both"/>
        <w:rPr>
          <w:rFonts w:ascii="Times New Roman" w:hAnsi="Times New Roman"/>
          <w:sz w:val="24"/>
          <w:szCs w:val="24"/>
        </w:rPr>
      </w:pPr>
      <w:r>
        <w:rPr>
          <w:rFonts w:ascii="Times New Roman" w:hAnsi="Times New Roman"/>
          <w:sz w:val="24"/>
          <w:szCs w:val="24"/>
        </w:rPr>
        <w:t>Le</w:t>
      </w:r>
      <w:r w:rsidRPr="003B3B95">
        <w:rPr>
          <w:rFonts w:ascii="Times New Roman" w:hAnsi="Times New Roman"/>
          <w:sz w:val="24"/>
          <w:szCs w:val="24"/>
        </w:rPr>
        <w:t xml:space="preserve"> financement de cette couverture en frais de santé </w:t>
      </w:r>
      <w:r>
        <w:rPr>
          <w:rFonts w:ascii="Times New Roman" w:hAnsi="Times New Roman"/>
          <w:sz w:val="24"/>
          <w:szCs w:val="24"/>
        </w:rPr>
        <w:t>sera partagé par moitié entre salariés et employeurs.</w:t>
      </w:r>
    </w:p>
    <w:p w:rsidR="006A416F" w:rsidRDefault="006A416F" w:rsidP="003E3A9D">
      <w:pPr>
        <w:spacing w:after="0"/>
        <w:jc w:val="both"/>
        <w:rPr>
          <w:rFonts w:ascii="Times New Roman" w:hAnsi="Times New Roman"/>
          <w:sz w:val="24"/>
          <w:szCs w:val="24"/>
        </w:rPr>
      </w:pPr>
    </w:p>
    <w:p w:rsidR="006A416F" w:rsidRDefault="006A416F" w:rsidP="003E3A9D">
      <w:pPr>
        <w:spacing w:after="0"/>
        <w:jc w:val="both"/>
        <w:rPr>
          <w:rFonts w:ascii="Times New Roman" w:hAnsi="Times New Roman"/>
          <w:sz w:val="24"/>
          <w:szCs w:val="24"/>
        </w:rPr>
      </w:pPr>
      <w:r>
        <w:rPr>
          <w:rFonts w:ascii="Times New Roman" w:hAnsi="Times New Roman"/>
          <w:sz w:val="24"/>
          <w:szCs w:val="24"/>
        </w:rPr>
        <w:t>3°/ Les dispositions visées aux 1° et 2° du présent article devront obligatoirement respecter la définition des contrats dits solidaires et responsables conformément à la législation et la réglementation en vigueur. Elles devront s’inscrire dans le cadre des articles R. 242-1-1 à R. 242-1-6 du code de la Sécurité sociale précisant le caractère collectif et obligatoire des régimes de protection sociale complémentaire.</w:t>
      </w:r>
    </w:p>
    <w:p w:rsidR="006A416F" w:rsidRDefault="006A416F" w:rsidP="003E3A9D">
      <w:pPr>
        <w:spacing w:after="0"/>
        <w:jc w:val="both"/>
        <w:rPr>
          <w:rFonts w:ascii="Times New Roman" w:hAnsi="Times New Roman"/>
          <w:sz w:val="24"/>
          <w:szCs w:val="24"/>
        </w:rPr>
      </w:pPr>
    </w:p>
    <w:p w:rsidR="006A416F" w:rsidRPr="00304D42" w:rsidRDefault="006A416F" w:rsidP="00890432">
      <w:pPr>
        <w:spacing w:after="0"/>
        <w:jc w:val="both"/>
        <w:rPr>
          <w:rFonts w:ascii="Times New Roman" w:hAnsi="Times New Roman"/>
          <w:sz w:val="24"/>
          <w:szCs w:val="24"/>
        </w:rPr>
      </w:pPr>
      <w:r w:rsidRPr="00304D42">
        <w:rPr>
          <w:rFonts w:ascii="Times New Roman" w:hAnsi="Times New Roman"/>
          <w:sz w:val="24"/>
          <w:szCs w:val="24"/>
        </w:rPr>
        <w:t>Les partenaires sociaux demandent aux pouvoirs publics à être consultés préalablement à tout projet d’évolution des conditions d’exonérations sociales attachées au financement des prestations de prévoyance prévues à l’article L.242-1 du code de la Sécurité sociale. En cas de modification de ces conditions d’exonérations sociales, les parties signataires du présent accord conviennent de réexaminer ensemble les dispositions du présent article.</w:t>
      </w:r>
    </w:p>
    <w:p w:rsidR="006A416F" w:rsidRPr="00304D42" w:rsidRDefault="006A416F" w:rsidP="00890432">
      <w:pPr>
        <w:spacing w:after="0"/>
        <w:jc w:val="both"/>
        <w:rPr>
          <w:rFonts w:ascii="Times New Roman" w:hAnsi="Times New Roman"/>
          <w:sz w:val="24"/>
          <w:szCs w:val="24"/>
        </w:rPr>
      </w:pPr>
    </w:p>
    <w:p w:rsidR="006A416F" w:rsidRPr="00304D42" w:rsidRDefault="006A416F" w:rsidP="00890432">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Article 2</w:t>
      </w:r>
      <w:r w:rsidRPr="00F0728A">
        <w:rPr>
          <w:rFonts w:ascii="Times New Roman" w:hAnsi="Times New Roman"/>
          <w:b/>
          <w:sz w:val="24"/>
          <w:szCs w:val="24"/>
        </w:rPr>
        <w:t xml:space="preserve"> – Améliorer l’effectivité de la portabilité de la couverture santé et prévoyance pour les demandeurs d’emploi</w:t>
      </w:r>
    </w:p>
    <w:p w:rsidR="006A416F" w:rsidRPr="00F0728A" w:rsidRDefault="006A416F">
      <w:pPr>
        <w:spacing w:after="0"/>
        <w:jc w:val="both"/>
        <w:rPr>
          <w:rFonts w:ascii="Times New Roman" w:hAnsi="Times New Roman"/>
          <w:b/>
          <w:sz w:val="24"/>
          <w:szCs w:val="24"/>
        </w:rPr>
      </w:pPr>
    </w:p>
    <w:p w:rsidR="006A416F" w:rsidRDefault="006A416F" w:rsidP="00DB5792">
      <w:pPr>
        <w:jc w:val="both"/>
        <w:rPr>
          <w:rFonts w:ascii="Times New Roman" w:hAnsi="Times New Roman"/>
          <w:sz w:val="24"/>
          <w:szCs w:val="24"/>
        </w:rPr>
      </w:pPr>
      <w:r>
        <w:rPr>
          <w:rFonts w:ascii="Times New Roman" w:hAnsi="Times New Roman"/>
          <w:sz w:val="24"/>
          <w:szCs w:val="24"/>
        </w:rPr>
        <w:t>Pour améliorer l’effectivité de la portabilité de la couverture santé et prévoyance prévues par l’article 14 de l’accord national interprofessionnel du 11 janvier 2008 modifié par avenant n°3 du 18 mai 2009, les signataires conviennent de généraliser, au niveau des branches professionnelles et des entreprises, le système de mutualisation du financement du maintien des garanties de couverture de frais de santé et de prévoyance ouvert par l’avenant susvisé.</w:t>
      </w:r>
    </w:p>
    <w:p w:rsidR="006A416F" w:rsidRPr="00C6649D" w:rsidRDefault="006A416F" w:rsidP="00DB5792">
      <w:pPr>
        <w:jc w:val="both"/>
        <w:rPr>
          <w:rFonts w:ascii="Times New Roman" w:hAnsi="Times New Roman"/>
          <w:sz w:val="24"/>
          <w:szCs w:val="24"/>
        </w:rPr>
      </w:pPr>
      <w:r>
        <w:rPr>
          <w:rFonts w:ascii="Times New Roman" w:hAnsi="Times New Roman"/>
          <w:sz w:val="24"/>
          <w:szCs w:val="24"/>
        </w:rPr>
        <w:t xml:space="preserve">Pour </w:t>
      </w:r>
      <w:r w:rsidRPr="00C6649D">
        <w:rPr>
          <w:rFonts w:ascii="Times New Roman" w:hAnsi="Times New Roman"/>
          <w:sz w:val="24"/>
          <w:szCs w:val="24"/>
        </w:rPr>
        <w:t>atteindre cet objectif, ils décident d’ouvrir un délai d’un an</w:t>
      </w:r>
      <w:r>
        <w:rPr>
          <w:rFonts w:ascii="Times New Roman" w:hAnsi="Times New Roman"/>
          <w:sz w:val="24"/>
          <w:szCs w:val="24"/>
        </w:rPr>
        <w:t>,</w:t>
      </w:r>
      <w:r w:rsidRPr="00C6649D">
        <w:rPr>
          <w:rFonts w:ascii="Times New Roman" w:hAnsi="Times New Roman"/>
          <w:sz w:val="24"/>
          <w:szCs w:val="24"/>
        </w:rPr>
        <w:t xml:space="preserve"> à compter de l’entrée en vigueur du présent accord, pour </w:t>
      </w:r>
      <w:r>
        <w:rPr>
          <w:rFonts w:ascii="Times New Roman" w:hAnsi="Times New Roman"/>
          <w:sz w:val="24"/>
          <w:szCs w:val="24"/>
        </w:rPr>
        <w:t>per</w:t>
      </w:r>
      <w:r w:rsidRPr="00C6649D">
        <w:rPr>
          <w:rFonts w:ascii="Times New Roman" w:hAnsi="Times New Roman"/>
          <w:sz w:val="24"/>
          <w:szCs w:val="24"/>
        </w:rPr>
        <w:t>mettre aux branches professionnelles et aux entreprises</w:t>
      </w:r>
      <w:r>
        <w:rPr>
          <w:rFonts w:ascii="Times New Roman" w:hAnsi="Times New Roman"/>
          <w:sz w:val="24"/>
          <w:szCs w:val="24"/>
        </w:rPr>
        <w:t xml:space="preserve">, de mettre en place </w:t>
      </w:r>
      <w:r w:rsidRPr="00C6649D">
        <w:rPr>
          <w:rFonts w:ascii="Times New Roman" w:hAnsi="Times New Roman"/>
          <w:sz w:val="24"/>
          <w:szCs w:val="24"/>
        </w:rPr>
        <w:t xml:space="preserve">un </w:t>
      </w:r>
      <w:r>
        <w:rPr>
          <w:rFonts w:ascii="Times New Roman" w:hAnsi="Times New Roman"/>
          <w:sz w:val="24"/>
          <w:szCs w:val="24"/>
        </w:rPr>
        <w:t xml:space="preserve">tel </w:t>
      </w:r>
      <w:r w:rsidRPr="00C6649D">
        <w:rPr>
          <w:rFonts w:ascii="Times New Roman" w:hAnsi="Times New Roman"/>
          <w:sz w:val="24"/>
          <w:szCs w:val="24"/>
        </w:rPr>
        <w:t>système de mutualisation</w:t>
      </w:r>
      <w:r>
        <w:rPr>
          <w:rFonts w:ascii="Times New Roman" w:hAnsi="Times New Roman"/>
          <w:sz w:val="24"/>
          <w:szCs w:val="24"/>
        </w:rPr>
        <w:t xml:space="preserve"> du financement du maintien des garanties de couverture complémentaire de frais de santé</w:t>
      </w:r>
      <w:r w:rsidRPr="00C6649D">
        <w:rPr>
          <w:rFonts w:ascii="Times New Roman" w:hAnsi="Times New Roman"/>
          <w:sz w:val="24"/>
          <w:szCs w:val="24"/>
        </w:rPr>
        <w:t>. Ce délai est porté à deux ans pour la mutualisation du financement du maintien des garanties de prévoyance.</w:t>
      </w:r>
    </w:p>
    <w:p w:rsidR="006A416F" w:rsidRDefault="006A416F" w:rsidP="00DB5792">
      <w:pPr>
        <w:jc w:val="both"/>
        <w:rPr>
          <w:rFonts w:ascii="Times New Roman" w:hAnsi="Times New Roman"/>
          <w:sz w:val="24"/>
          <w:szCs w:val="24"/>
        </w:rPr>
      </w:pPr>
      <w:r w:rsidRPr="00C6649D">
        <w:rPr>
          <w:rFonts w:ascii="Times New Roman" w:hAnsi="Times New Roman"/>
          <w:sz w:val="24"/>
          <w:szCs w:val="24"/>
        </w:rPr>
        <w:t>La durée</w:t>
      </w:r>
      <w:r>
        <w:rPr>
          <w:rFonts w:ascii="Times New Roman" w:hAnsi="Times New Roman"/>
          <w:sz w:val="24"/>
          <w:szCs w:val="24"/>
        </w:rPr>
        <w:t xml:space="preserve"> maximale de la portabilité de la </w:t>
      </w:r>
      <w:r w:rsidRPr="00C6649D">
        <w:rPr>
          <w:rFonts w:ascii="Times New Roman" w:hAnsi="Times New Roman"/>
          <w:sz w:val="24"/>
          <w:szCs w:val="24"/>
        </w:rPr>
        <w:t xml:space="preserve">couverture de frais de santé et de prévoyance est portée de 9 à 12 mois. </w:t>
      </w:r>
    </w:p>
    <w:p w:rsidR="006A416F" w:rsidRDefault="006A416F" w:rsidP="00F0728A">
      <w:pPr>
        <w:spacing w:after="0"/>
        <w:jc w:val="both"/>
        <w:rPr>
          <w:rFonts w:ascii="Times New Roman" w:hAnsi="Times New Roman"/>
          <w:sz w:val="24"/>
          <w:szCs w:val="24"/>
        </w:rPr>
      </w:pPr>
    </w:p>
    <w:p w:rsidR="006A416F" w:rsidRPr="00F0728A" w:rsidRDefault="006A416F" w:rsidP="00F0728A">
      <w:pPr>
        <w:spacing w:after="0"/>
        <w:jc w:val="both"/>
        <w:rPr>
          <w:rFonts w:ascii="Times New Roman" w:hAnsi="Times New Roman"/>
          <w:b/>
          <w:sz w:val="24"/>
          <w:szCs w:val="24"/>
        </w:rPr>
      </w:pPr>
      <w:r w:rsidRPr="00F0728A">
        <w:rPr>
          <w:rFonts w:ascii="Times New Roman" w:hAnsi="Times New Roman"/>
          <w:b/>
          <w:sz w:val="24"/>
          <w:szCs w:val="24"/>
          <w:u w:val="single"/>
        </w:rPr>
        <w:t>Article 3</w:t>
      </w:r>
      <w:r w:rsidRPr="00F0728A">
        <w:rPr>
          <w:rFonts w:ascii="Times New Roman" w:hAnsi="Times New Roman"/>
          <w:b/>
          <w:sz w:val="24"/>
          <w:szCs w:val="24"/>
        </w:rPr>
        <w:t xml:space="preserve"> </w:t>
      </w:r>
      <w:r w:rsidRPr="007C4FF0">
        <w:rPr>
          <w:rFonts w:ascii="Times New Roman" w:hAnsi="Times New Roman"/>
          <w:b/>
          <w:sz w:val="24"/>
          <w:szCs w:val="24"/>
        </w:rPr>
        <w:t>–</w:t>
      </w:r>
      <w:r w:rsidRPr="00F0728A">
        <w:rPr>
          <w:rFonts w:ascii="Times New Roman" w:hAnsi="Times New Roman"/>
          <w:b/>
          <w:sz w:val="24"/>
          <w:szCs w:val="24"/>
        </w:rPr>
        <w:t xml:space="preserve"> Création de droits rechargeables à l’assurance-chômage</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Les parties signataires considèrent que le régime d’assurance chômage contribue à la sécurisation des parcours des salariés, tant en leur assurant un revenu de remplacement qu’en leur permettant de bénéficier des dispositifs d’accompagnement destinés à accéder à des emplois durables.</w:t>
      </w:r>
    </w:p>
    <w:p w:rsidR="006A416F" w:rsidRPr="00F0728A" w:rsidRDefault="006A416F">
      <w:pPr>
        <w:spacing w:after="0"/>
        <w:jc w:val="both"/>
        <w:rPr>
          <w:rFonts w:ascii="Times New Roman" w:hAnsi="Times New Roman"/>
          <w:sz w:val="24"/>
          <w:szCs w:val="24"/>
        </w:rPr>
      </w:pPr>
    </w:p>
    <w:p w:rsidR="006A416F" w:rsidRDefault="006A416F" w:rsidP="00DB5792">
      <w:pPr>
        <w:spacing w:after="0"/>
        <w:jc w:val="both"/>
        <w:rPr>
          <w:rFonts w:ascii="Times New Roman" w:hAnsi="Times New Roman"/>
          <w:sz w:val="24"/>
          <w:szCs w:val="24"/>
        </w:rPr>
      </w:pPr>
      <w:r w:rsidRPr="007A0637">
        <w:rPr>
          <w:rFonts w:ascii="Times New Roman" w:hAnsi="Times New Roman"/>
          <w:sz w:val="24"/>
          <w:szCs w:val="24"/>
        </w:rPr>
        <w:t>A cet effet, elles conviennent de la mise en place d’un dispositif de droits rechargeables dans le cadre du régime d’assurance chômage</w:t>
      </w:r>
      <w:r>
        <w:rPr>
          <w:rFonts w:ascii="Times New Roman" w:hAnsi="Times New Roman"/>
          <w:sz w:val="24"/>
          <w:szCs w:val="24"/>
        </w:rPr>
        <w:t xml:space="preserve">. Les paramètres de ce dispositif feront l’objet, sans tarder, d’un examen dans le cadre du groupe paritaire politique prévu par l’accord national interprofessionnel du 25 mars 2011 relatif à l’indemnisation du chômage. </w:t>
      </w:r>
    </w:p>
    <w:p w:rsidR="006A416F" w:rsidRDefault="006A416F" w:rsidP="00DB5792">
      <w:pPr>
        <w:spacing w:after="0"/>
        <w:jc w:val="both"/>
        <w:rPr>
          <w:rFonts w:ascii="Times New Roman" w:hAnsi="Times New Roman"/>
          <w:sz w:val="24"/>
          <w:szCs w:val="24"/>
        </w:rPr>
      </w:pPr>
    </w:p>
    <w:p w:rsidR="006A416F" w:rsidRDefault="006A416F" w:rsidP="00DB5792">
      <w:pPr>
        <w:spacing w:after="0"/>
        <w:jc w:val="both"/>
        <w:rPr>
          <w:rFonts w:ascii="Times New Roman" w:hAnsi="Times New Roman"/>
          <w:sz w:val="24"/>
          <w:szCs w:val="24"/>
        </w:rPr>
      </w:pPr>
      <w:r>
        <w:rPr>
          <w:rFonts w:ascii="Times New Roman" w:hAnsi="Times New Roman"/>
          <w:sz w:val="24"/>
          <w:szCs w:val="24"/>
        </w:rPr>
        <w:t xml:space="preserve">La mise en œuvre de ces paramètres interviendra dans le cadre de la nouvelle convention issue de la renégociation de l’accord </w:t>
      </w:r>
      <w:r w:rsidRPr="007A0637">
        <w:rPr>
          <w:rFonts w:ascii="Times New Roman" w:hAnsi="Times New Roman"/>
          <w:sz w:val="24"/>
          <w:szCs w:val="24"/>
        </w:rPr>
        <w:t>national interprofessionnel du 25 mars 2011 relatif à l’indemnisation du chômage.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Ce dispositif consiste pour les salariés, en cas de reprise d’emploi consécutive à une période de chômage, à conserver le reliquat de tout ou partie de leurs droits aux allocations du régime d’assurance chômage non utilisés, pour les ajouter, en cas de nouvelle perte d’emploi, aux nouveaux droits acquis au titre de la période d’activité ouverte par cette reprise d’emploi.</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Pr>
          <w:rFonts w:ascii="Times New Roman" w:hAnsi="Times New Roman"/>
          <w:sz w:val="24"/>
          <w:szCs w:val="24"/>
        </w:rPr>
        <w:t>L</w:t>
      </w:r>
      <w:r w:rsidRPr="00F0728A">
        <w:rPr>
          <w:rFonts w:ascii="Times New Roman" w:hAnsi="Times New Roman"/>
          <w:sz w:val="24"/>
          <w:szCs w:val="24"/>
        </w:rPr>
        <w:t xml:space="preserve">es partenaires sociaux veilleront à ne pas aggraver ainsi le déséquilibre financier du régime d’assurance chômage.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L’UNEDIC devra réaliser pour les partenaires sociaux une double évaluation des résultats du déploiement de ces mesures au fil de l’eau et ex post, sur l’ensemble des plans qualitatif</w:t>
      </w:r>
      <w:r>
        <w:rPr>
          <w:rFonts w:ascii="Times New Roman" w:hAnsi="Times New Roman"/>
          <w:sz w:val="24"/>
          <w:szCs w:val="24"/>
        </w:rPr>
        <w:t>s</w:t>
      </w:r>
      <w:r w:rsidRPr="00F0728A">
        <w:rPr>
          <w:rFonts w:ascii="Times New Roman" w:hAnsi="Times New Roman"/>
          <w:sz w:val="24"/>
          <w:szCs w:val="24"/>
        </w:rPr>
        <w:t>, quantitatif</w:t>
      </w:r>
      <w:r>
        <w:rPr>
          <w:rFonts w:ascii="Times New Roman" w:hAnsi="Times New Roman"/>
          <w:sz w:val="24"/>
          <w:szCs w:val="24"/>
        </w:rPr>
        <w:t>s</w:t>
      </w:r>
      <w:r w:rsidRPr="00F0728A">
        <w:rPr>
          <w:rFonts w:ascii="Times New Roman" w:hAnsi="Times New Roman"/>
          <w:sz w:val="24"/>
          <w:szCs w:val="24"/>
        </w:rPr>
        <w:t xml:space="preserve"> et financier</w:t>
      </w:r>
      <w:r>
        <w:rPr>
          <w:rFonts w:ascii="Times New Roman" w:hAnsi="Times New Roman"/>
          <w:sz w:val="24"/>
          <w:szCs w:val="24"/>
        </w:rPr>
        <w:t>s</w:t>
      </w:r>
      <w:r w:rsidRPr="00F0728A">
        <w:rPr>
          <w:rFonts w:ascii="Times New Roman" w:hAnsi="Times New Roman"/>
          <w:sz w:val="24"/>
          <w:szCs w:val="24"/>
        </w:rPr>
        <w:t xml:space="preserve">. Ces évaluations devront nécessairement distinguer les effets de la conjoncture économique des effets de chacune des mesures. Au vu de ces évaluations, les partenaires sociaux procéderont aux adaptations nécessaires. </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p>
    <w:p w:rsidR="006A416F" w:rsidRPr="00782A9F" w:rsidRDefault="006A416F" w:rsidP="006D7826">
      <w:pPr>
        <w:jc w:val="both"/>
        <w:rPr>
          <w:rFonts w:ascii="Times New Roman" w:hAnsi="Times New Roman"/>
          <w:b/>
          <w:sz w:val="24"/>
          <w:szCs w:val="24"/>
        </w:rPr>
      </w:pPr>
      <w:r w:rsidRPr="0003128A">
        <w:rPr>
          <w:rFonts w:ascii="Times New Roman" w:hAnsi="Times New Roman"/>
          <w:b/>
          <w:sz w:val="24"/>
          <w:szCs w:val="24"/>
          <w:u w:val="single"/>
        </w:rPr>
        <w:t>Article 4</w:t>
      </w:r>
      <w:r w:rsidRPr="00782A9F">
        <w:rPr>
          <w:rFonts w:ascii="Times New Roman" w:hAnsi="Times New Roman"/>
          <w:b/>
          <w:sz w:val="24"/>
          <w:szCs w:val="24"/>
        </w:rPr>
        <w:t xml:space="preserve"> </w:t>
      </w:r>
      <w:r>
        <w:rPr>
          <w:rFonts w:ascii="Times New Roman" w:hAnsi="Times New Roman"/>
          <w:b/>
          <w:sz w:val="24"/>
          <w:szCs w:val="24"/>
        </w:rPr>
        <w:t>–</w:t>
      </w:r>
      <w:r w:rsidRPr="00782A9F">
        <w:rPr>
          <w:rFonts w:ascii="Times New Roman" w:hAnsi="Times New Roman"/>
          <w:b/>
          <w:sz w:val="24"/>
          <w:szCs w:val="24"/>
        </w:rPr>
        <w:t xml:space="preserve"> </w:t>
      </w:r>
      <w:r>
        <w:rPr>
          <w:rFonts w:ascii="Times New Roman" w:hAnsi="Times New Roman"/>
          <w:b/>
          <w:sz w:val="24"/>
          <w:szCs w:val="24"/>
        </w:rPr>
        <w:t>Majoration de la cotisation d’assurance chômage des contrats à durée déterminée</w:t>
      </w:r>
    </w:p>
    <w:p w:rsidR="006A416F" w:rsidRPr="00890432" w:rsidRDefault="006A416F" w:rsidP="00890432">
      <w:pPr>
        <w:pStyle w:val="ListParagraph"/>
        <w:numPr>
          <w:ilvl w:val="0"/>
          <w:numId w:val="54"/>
        </w:numPr>
        <w:ind w:left="426"/>
        <w:jc w:val="both"/>
        <w:rPr>
          <w:rFonts w:ascii="Times New Roman" w:hAnsi="Times New Roman"/>
          <w:sz w:val="24"/>
          <w:szCs w:val="24"/>
        </w:rPr>
      </w:pPr>
      <w:r w:rsidRPr="00890432">
        <w:rPr>
          <w:rFonts w:ascii="Times New Roman" w:hAnsi="Times New Roman"/>
          <w:sz w:val="24"/>
          <w:szCs w:val="24"/>
        </w:rPr>
        <w:t>Un avenant à la convention d’assurance chômage fixera le montant de la cotisation employeur au régime d’assurance chômage pour les contrats à durée déterminée</w:t>
      </w:r>
      <w:r>
        <w:rPr>
          <w:rFonts w:ascii="Times New Roman" w:hAnsi="Times New Roman"/>
          <w:sz w:val="24"/>
          <w:szCs w:val="24"/>
        </w:rPr>
        <w:t>, visés au titre IV du livre deuxième de la première partie du code du travail,</w:t>
      </w:r>
      <w:r w:rsidRPr="00890432">
        <w:rPr>
          <w:rFonts w:ascii="Times New Roman" w:hAnsi="Times New Roman"/>
          <w:sz w:val="24"/>
          <w:szCs w:val="24"/>
        </w:rPr>
        <w:t xml:space="preserve"> selon les principes ci-après :</w:t>
      </w:r>
    </w:p>
    <w:p w:rsidR="006A416F" w:rsidRDefault="006A416F" w:rsidP="006D7826">
      <w:pPr>
        <w:pStyle w:val="ListParagraph"/>
        <w:ind w:left="426"/>
        <w:jc w:val="both"/>
        <w:rPr>
          <w:rFonts w:ascii="Times New Roman" w:hAnsi="Times New Roman"/>
          <w:sz w:val="24"/>
          <w:szCs w:val="24"/>
        </w:rPr>
      </w:pPr>
    </w:p>
    <w:p w:rsidR="006A416F" w:rsidRDefault="006A416F" w:rsidP="006D7826">
      <w:pPr>
        <w:pStyle w:val="ListParagraph"/>
        <w:numPr>
          <w:ilvl w:val="0"/>
          <w:numId w:val="53"/>
        </w:numPr>
        <w:jc w:val="both"/>
        <w:rPr>
          <w:rFonts w:ascii="Times New Roman" w:hAnsi="Times New Roman"/>
          <w:sz w:val="24"/>
          <w:szCs w:val="24"/>
        </w:rPr>
      </w:pPr>
      <w:r>
        <w:rPr>
          <w:rFonts w:ascii="Times New Roman" w:hAnsi="Times New Roman"/>
          <w:sz w:val="24"/>
          <w:szCs w:val="24"/>
        </w:rPr>
        <w:t>7% pour les contrats d’une durée inférieure à un mois ;</w:t>
      </w:r>
    </w:p>
    <w:p w:rsidR="006A416F" w:rsidRDefault="006A416F">
      <w:pPr>
        <w:pStyle w:val="ListParagraph"/>
        <w:numPr>
          <w:ilvl w:val="0"/>
          <w:numId w:val="53"/>
        </w:numPr>
        <w:jc w:val="both"/>
        <w:rPr>
          <w:rFonts w:ascii="Times New Roman" w:hAnsi="Times New Roman"/>
          <w:sz w:val="24"/>
          <w:szCs w:val="24"/>
        </w:rPr>
      </w:pPr>
      <w:r w:rsidRPr="006D7826">
        <w:rPr>
          <w:rFonts w:ascii="Times New Roman" w:hAnsi="Times New Roman"/>
          <w:sz w:val="24"/>
          <w:szCs w:val="24"/>
        </w:rPr>
        <w:t>5,5 % pour les contrats d’une durée comprise entre 1 et 3 mois</w:t>
      </w:r>
      <w:r>
        <w:rPr>
          <w:rFonts w:ascii="Times New Roman" w:hAnsi="Times New Roman"/>
          <w:sz w:val="24"/>
          <w:szCs w:val="24"/>
        </w:rPr>
        <w:t> ;</w:t>
      </w:r>
    </w:p>
    <w:p w:rsidR="006A416F" w:rsidRDefault="006A416F" w:rsidP="00733218">
      <w:pPr>
        <w:pStyle w:val="ListParagraph"/>
        <w:numPr>
          <w:ilvl w:val="0"/>
          <w:numId w:val="53"/>
        </w:numPr>
        <w:jc w:val="both"/>
        <w:rPr>
          <w:rFonts w:ascii="Times New Roman" w:hAnsi="Times New Roman"/>
          <w:sz w:val="24"/>
          <w:szCs w:val="24"/>
        </w:rPr>
      </w:pPr>
      <w:r>
        <w:rPr>
          <w:rFonts w:ascii="Times New Roman" w:hAnsi="Times New Roman"/>
          <w:sz w:val="24"/>
          <w:szCs w:val="24"/>
        </w:rPr>
        <w:t>4,5 % pour les contrats d’une durée inférieure à 3 mois, conclus dans certains secteurs d’activité définis par décret ou par convention ou accord collectif de travail étendu, dans lesquels il est d’usage constant de ne pas recourir au contrat de travail à durée indéterminée en raison de la nature de l’activité exercée et du caractère par nature temporaire de ces emplois, visés au 3° de l’article L.1242-2 du code du travail.</w:t>
      </w:r>
    </w:p>
    <w:p w:rsidR="006A416F" w:rsidRDefault="006A416F" w:rsidP="006D7826">
      <w:pPr>
        <w:jc w:val="both"/>
        <w:rPr>
          <w:rFonts w:ascii="Times New Roman" w:hAnsi="Times New Roman"/>
          <w:sz w:val="24"/>
          <w:szCs w:val="24"/>
        </w:rPr>
      </w:pPr>
      <w:r>
        <w:rPr>
          <w:rFonts w:ascii="Times New Roman" w:hAnsi="Times New Roman"/>
          <w:sz w:val="24"/>
          <w:szCs w:val="24"/>
        </w:rPr>
        <w:t>Les contrats conclus pour l’exécution d’une tâche précise et temporaire dans les cas visés au 1°, 4° et 5° de l’article L.1242-2 du code du travail et les contrats correspondants aux emplois saisonniers visés au 3° du même article ne sont pas concernés par les dispositions du présent a).</w:t>
      </w:r>
    </w:p>
    <w:p w:rsidR="006A416F" w:rsidRPr="00782A9F" w:rsidRDefault="006A416F" w:rsidP="006D7826">
      <w:pPr>
        <w:jc w:val="both"/>
        <w:rPr>
          <w:rFonts w:ascii="Times New Roman" w:hAnsi="Times New Roman"/>
          <w:sz w:val="24"/>
          <w:szCs w:val="24"/>
        </w:rPr>
      </w:pPr>
      <w:r>
        <w:rPr>
          <w:rFonts w:ascii="Times New Roman" w:hAnsi="Times New Roman"/>
          <w:sz w:val="24"/>
          <w:szCs w:val="24"/>
        </w:rPr>
        <w:t>Les taux mentionnés ci-dessus ne sont pas applicables lorsque le salarié est embauché par l’employeur en contrat à durée indéterminée à l’issue du contrat à durée déterminée.</w:t>
      </w:r>
    </w:p>
    <w:p w:rsidR="006A416F" w:rsidRDefault="006A416F" w:rsidP="006D7826">
      <w:pPr>
        <w:jc w:val="both"/>
        <w:rPr>
          <w:rFonts w:ascii="Times New Roman" w:hAnsi="Times New Roman"/>
          <w:sz w:val="24"/>
          <w:szCs w:val="24"/>
        </w:rPr>
      </w:pPr>
      <w:r>
        <w:rPr>
          <w:rFonts w:ascii="Times New Roman" w:hAnsi="Times New Roman"/>
          <w:sz w:val="24"/>
          <w:szCs w:val="24"/>
        </w:rPr>
        <w:t>Cet avenant entrera en vigueur au 1</w:t>
      </w:r>
      <w:r w:rsidRPr="0027112A">
        <w:rPr>
          <w:rFonts w:ascii="Times New Roman" w:hAnsi="Times New Roman"/>
          <w:sz w:val="24"/>
          <w:szCs w:val="24"/>
          <w:vertAlign w:val="superscript"/>
        </w:rPr>
        <w:t>er</w:t>
      </w:r>
      <w:r>
        <w:rPr>
          <w:rFonts w:ascii="Times New Roman" w:hAnsi="Times New Roman"/>
          <w:sz w:val="24"/>
          <w:szCs w:val="24"/>
        </w:rPr>
        <w:t xml:space="preserve"> juillet 2013.</w:t>
      </w:r>
    </w:p>
    <w:p w:rsidR="006A416F" w:rsidRPr="0003128A" w:rsidRDefault="006A416F" w:rsidP="0003128A">
      <w:pPr>
        <w:pStyle w:val="ListParagraph"/>
        <w:numPr>
          <w:ilvl w:val="0"/>
          <w:numId w:val="58"/>
        </w:numPr>
        <w:spacing w:after="0"/>
        <w:jc w:val="both"/>
        <w:rPr>
          <w:rFonts w:ascii="Times New Roman" w:hAnsi="Times New Roman"/>
          <w:sz w:val="24"/>
          <w:szCs w:val="24"/>
        </w:rPr>
      </w:pPr>
      <w:r w:rsidRPr="0003128A">
        <w:rPr>
          <w:rFonts w:ascii="Times New Roman" w:hAnsi="Times New Roman"/>
          <w:sz w:val="24"/>
          <w:szCs w:val="24"/>
        </w:rPr>
        <w:t xml:space="preserve">Le contrat à durée indéterminée conclu pour l’embauche d’un jeune de moins de 26 ans est exonéré de cotisations patronales d’assurance chômage, pendant une durée de 3 mois, dès lors qu’il se poursuit au-delà de la période d’essai. </w:t>
      </w:r>
    </w:p>
    <w:p w:rsidR="006A416F" w:rsidRPr="00291149" w:rsidRDefault="006A416F" w:rsidP="0003128A">
      <w:pPr>
        <w:spacing w:after="0"/>
        <w:ind w:left="360"/>
        <w:jc w:val="both"/>
        <w:rPr>
          <w:rFonts w:ascii="Times New Roman" w:hAnsi="Times New Roman"/>
          <w:sz w:val="24"/>
          <w:szCs w:val="24"/>
        </w:rPr>
      </w:pPr>
      <w:r w:rsidRPr="00291149">
        <w:rPr>
          <w:rFonts w:ascii="Times New Roman" w:hAnsi="Times New Roman"/>
          <w:sz w:val="24"/>
          <w:szCs w:val="24"/>
        </w:rPr>
        <w:t>Pour les entreprises de moins de 50 salariés, l’exonération est portée à 4 mois.</w:t>
      </w:r>
    </w:p>
    <w:p w:rsidR="006A416F" w:rsidRPr="0003128A" w:rsidRDefault="006A416F" w:rsidP="0003128A">
      <w:pPr>
        <w:spacing w:after="0"/>
        <w:ind w:left="66"/>
        <w:jc w:val="both"/>
        <w:rPr>
          <w:rFonts w:ascii="Times New Roman" w:hAnsi="Times New Roman"/>
          <w:sz w:val="24"/>
          <w:szCs w:val="24"/>
        </w:rPr>
      </w:pPr>
    </w:p>
    <w:p w:rsidR="006A416F" w:rsidRDefault="006A416F">
      <w:pPr>
        <w:spacing w:after="0"/>
        <w:jc w:val="both"/>
        <w:rPr>
          <w:rFonts w:ascii="Times New Roman" w:hAnsi="Times New Roman"/>
          <w:sz w:val="24"/>
          <w:szCs w:val="24"/>
        </w:rPr>
      </w:pPr>
    </w:p>
    <w:p w:rsidR="006A416F" w:rsidRPr="00304D42" w:rsidRDefault="006A416F" w:rsidP="0003128A">
      <w:pPr>
        <w:pStyle w:val="NoSpacing"/>
        <w:numPr>
          <w:ilvl w:val="0"/>
          <w:numId w:val="58"/>
        </w:numPr>
        <w:jc w:val="both"/>
        <w:rPr>
          <w:rFonts w:ascii="Times New Roman" w:hAnsi="Times New Roman"/>
          <w:sz w:val="24"/>
          <w:szCs w:val="24"/>
        </w:rPr>
      </w:pPr>
      <w:r w:rsidRPr="00304D42">
        <w:rPr>
          <w:rFonts w:ascii="Times New Roman" w:hAnsi="Times New Roman"/>
          <w:sz w:val="24"/>
          <w:szCs w:val="24"/>
        </w:rPr>
        <w:t>La branche du travail temporaire a développé au bénéfice des salariés intérimaires des dispositifs qui organisent l’accès de ces salariés à  un accompagnement et une protection sociale de branche.</w:t>
      </w:r>
    </w:p>
    <w:p w:rsidR="006A416F" w:rsidRPr="00304D42" w:rsidRDefault="006A416F" w:rsidP="00890432">
      <w:pPr>
        <w:pStyle w:val="NoSpacing"/>
        <w:jc w:val="both"/>
        <w:rPr>
          <w:rFonts w:ascii="Times New Roman" w:hAnsi="Times New Roman"/>
          <w:sz w:val="24"/>
          <w:szCs w:val="24"/>
        </w:rPr>
      </w:pPr>
    </w:p>
    <w:p w:rsidR="006A416F" w:rsidRPr="00304D42" w:rsidRDefault="006A416F" w:rsidP="00890432">
      <w:pPr>
        <w:pStyle w:val="NoSpacing"/>
        <w:jc w:val="both"/>
        <w:rPr>
          <w:rFonts w:ascii="Times New Roman" w:hAnsi="Times New Roman"/>
          <w:sz w:val="24"/>
          <w:szCs w:val="24"/>
        </w:rPr>
      </w:pPr>
      <w:r w:rsidRPr="00304D42">
        <w:rPr>
          <w:rFonts w:ascii="Times New Roman" w:hAnsi="Times New Roman"/>
          <w:sz w:val="24"/>
          <w:szCs w:val="24"/>
        </w:rPr>
        <w:t>Les parties signataires prennent acte de la décision de la profession d’approfondir la sécurisation des parcours professionnels de cette catégorie de salariés par la mise en place d’un contrat de travail à durée indéterminée</w:t>
      </w:r>
    </w:p>
    <w:p w:rsidR="006A416F" w:rsidRPr="00304D42" w:rsidRDefault="006A416F" w:rsidP="00890432">
      <w:pPr>
        <w:pStyle w:val="NoSpacing"/>
        <w:jc w:val="both"/>
        <w:rPr>
          <w:rFonts w:ascii="Times New Roman" w:hAnsi="Times New Roman"/>
          <w:sz w:val="24"/>
          <w:szCs w:val="24"/>
        </w:rPr>
      </w:pPr>
    </w:p>
    <w:p w:rsidR="006A416F" w:rsidRPr="00304D42" w:rsidRDefault="006A416F" w:rsidP="00890432">
      <w:pPr>
        <w:spacing w:after="120"/>
        <w:jc w:val="both"/>
        <w:rPr>
          <w:rFonts w:ascii="Times New Roman" w:hAnsi="Times New Roman"/>
          <w:sz w:val="24"/>
          <w:szCs w:val="24"/>
        </w:rPr>
      </w:pPr>
      <w:r w:rsidRPr="00304D42">
        <w:rPr>
          <w:rFonts w:ascii="Times New Roman" w:hAnsi="Times New Roman"/>
          <w:sz w:val="24"/>
          <w:szCs w:val="24"/>
        </w:rPr>
        <w:t xml:space="preserve">A cet effet, les parties signataires invitent la branche du travail temporaire à organiser par accord collectif, dans les six mois suivant la signature du présent accord  </w:t>
      </w:r>
    </w:p>
    <w:p w:rsidR="006A416F" w:rsidRPr="00304D42" w:rsidRDefault="006A416F" w:rsidP="00890432">
      <w:pPr>
        <w:numPr>
          <w:ilvl w:val="0"/>
          <w:numId w:val="55"/>
        </w:numPr>
        <w:spacing w:after="120"/>
        <w:jc w:val="both"/>
        <w:rPr>
          <w:rFonts w:ascii="Times New Roman" w:hAnsi="Times New Roman"/>
          <w:sz w:val="24"/>
          <w:szCs w:val="24"/>
        </w:rPr>
      </w:pPr>
      <w:r w:rsidRPr="00304D42">
        <w:rPr>
          <w:rFonts w:ascii="Times New Roman" w:hAnsi="Times New Roman"/>
          <w:sz w:val="24"/>
          <w:szCs w:val="24"/>
        </w:rPr>
        <w:t>les conditions d’emploi et de rémunération des intérimaires qui seront titulaires d’un contrat de travail à durée indéterminée dans des conditions n’ayant ni pour effet ni pour objet de pourvoir durablement un emploi lié à l’activité normale et permanente de l’entreprise cliente, ni d’élargir sans accord des parties signataires du présent accord le champ de recours aux missions d’intérim.</w:t>
      </w:r>
    </w:p>
    <w:p w:rsidR="006A416F" w:rsidRPr="00304D42" w:rsidRDefault="006A416F" w:rsidP="00890432">
      <w:pPr>
        <w:numPr>
          <w:ilvl w:val="0"/>
          <w:numId w:val="55"/>
        </w:numPr>
        <w:spacing w:after="120"/>
        <w:jc w:val="both"/>
        <w:rPr>
          <w:rFonts w:ascii="Times New Roman" w:hAnsi="Times New Roman"/>
          <w:sz w:val="24"/>
          <w:szCs w:val="24"/>
        </w:rPr>
      </w:pPr>
      <w:r w:rsidRPr="00304D42">
        <w:rPr>
          <w:rFonts w:ascii="Times New Roman" w:hAnsi="Times New Roman"/>
          <w:sz w:val="24"/>
          <w:szCs w:val="24"/>
        </w:rPr>
        <w:t>les conditions permettant de se rapprocher pour les autres salariés intérimaires, des objectifs visés par l’article 11 du présent accord</w:t>
      </w:r>
    </w:p>
    <w:p w:rsidR="006A416F" w:rsidRPr="00304D42" w:rsidRDefault="006A416F" w:rsidP="00890432">
      <w:pPr>
        <w:spacing w:after="120"/>
        <w:jc w:val="both"/>
        <w:rPr>
          <w:rFonts w:ascii="Times New Roman" w:hAnsi="Times New Roman"/>
          <w:sz w:val="24"/>
          <w:szCs w:val="24"/>
        </w:rPr>
      </w:pPr>
    </w:p>
    <w:p w:rsidR="006A416F" w:rsidRPr="00304D42" w:rsidRDefault="006A416F" w:rsidP="00890432">
      <w:pPr>
        <w:spacing w:after="120"/>
        <w:jc w:val="both"/>
        <w:rPr>
          <w:rFonts w:ascii="Times New Roman" w:hAnsi="Times New Roman"/>
          <w:sz w:val="24"/>
          <w:szCs w:val="24"/>
        </w:rPr>
      </w:pPr>
      <w:r w:rsidRPr="00304D42">
        <w:rPr>
          <w:rFonts w:ascii="Times New Roman" w:hAnsi="Times New Roman"/>
          <w:sz w:val="24"/>
          <w:szCs w:val="24"/>
        </w:rPr>
        <w:t>Si aucun accord n’est intervenu au moment de l’ouverture de la prochaine négociation sur l’assurance chômage, les parties signataires conviennent de réexaminer les conditions dans lesquelles la sécurisation des parcours professionnels des intérimaires pourrait être améliorée.</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rsidP="00F0728A">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5</w:t>
      </w:r>
      <w:r w:rsidRPr="00F0728A">
        <w:rPr>
          <w:rFonts w:ascii="Times New Roman" w:hAnsi="Times New Roman"/>
          <w:b/>
          <w:sz w:val="24"/>
          <w:szCs w:val="24"/>
        </w:rPr>
        <w:t xml:space="preserve"> </w:t>
      </w:r>
      <w:r w:rsidRPr="007C4FF0">
        <w:rPr>
          <w:rFonts w:ascii="Times New Roman" w:hAnsi="Times New Roman"/>
          <w:b/>
          <w:sz w:val="24"/>
          <w:szCs w:val="24"/>
        </w:rPr>
        <w:t>–</w:t>
      </w:r>
      <w:r w:rsidRPr="00F0728A">
        <w:rPr>
          <w:rFonts w:ascii="Times New Roman" w:hAnsi="Times New Roman"/>
          <w:b/>
          <w:sz w:val="24"/>
          <w:szCs w:val="24"/>
        </w:rPr>
        <w:t xml:space="preserve"> Création d’un compte personnel de formation</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En vue de franchir une étape supplémentaire en matière de portabilité des droits à la formation, il est instauré dans les 6 mois de l’entrée en vigueur du présent accord, un compte personnel sur la base des principes directeurs ci-après :</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 xml:space="preserve">Le compte personnel de formation possède les trois grandes propriétés suivantes : </w:t>
      </w:r>
    </w:p>
    <w:p w:rsidR="006A416F" w:rsidRPr="00F0728A" w:rsidRDefault="006A416F">
      <w:pPr>
        <w:spacing w:after="0"/>
        <w:jc w:val="both"/>
        <w:rPr>
          <w:rFonts w:ascii="Times New Roman" w:hAnsi="Times New Roman"/>
          <w:sz w:val="24"/>
          <w:szCs w:val="24"/>
        </w:rPr>
      </w:pPr>
    </w:p>
    <w:p w:rsidR="006A416F" w:rsidRPr="00F0728A" w:rsidRDefault="006A416F">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Il est universel : toute personne dispose d’un compte personnel de formation dès son entrée sur le marché du travail et jusqu’à son départ à la retraite</w:t>
      </w:r>
      <w:r>
        <w:rPr>
          <w:rFonts w:ascii="Times New Roman" w:hAnsi="Times New Roman"/>
          <w:sz w:val="24"/>
          <w:szCs w:val="24"/>
        </w:rPr>
        <w:t> ;</w:t>
      </w:r>
    </w:p>
    <w:p w:rsidR="006A416F" w:rsidRPr="00F0728A" w:rsidRDefault="006A416F">
      <w:pPr>
        <w:pStyle w:val="ListParagraph"/>
        <w:spacing w:after="0"/>
        <w:jc w:val="both"/>
        <w:rPr>
          <w:rFonts w:ascii="Times New Roman" w:hAnsi="Times New Roman"/>
          <w:sz w:val="24"/>
          <w:szCs w:val="24"/>
        </w:rPr>
      </w:pPr>
    </w:p>
    <w:p w:rsidR="006A416F" w:rsidRPr="00F0728A" w:rsidRDefault="006A416F" w:rsidP="00F0728A">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Il est individuel : chaque personne bénéficie d’un compte, qu’elle soit salarié ou demandeur d’emploi)</w:t>
      </w:r>
      <w:r>
        <w:rPr>
          <w:rFonts w:ascii="Times New Roman" w:hAnsi="Times New Roman"/>
          <w:sz w:val="24"/>
          <w:szCs w:val="24"/>
        </w:rPr>
        <w:t> ;</w:t>
      </w:r>
    </w:p>
    <w:p w:rsidR="006A416F" w:rsidRPr="00F0728A" w:rsidRDefault="006A416F" w:rsidP="00DE4F83">
      <w:pPr>
        <w:pStyle w:val="ListParagraph"/>
        <w:spacing w:after="0"/>
        <w:jc w:val="both"/>
        <w:rPr>
          <w:rFonts w:ascii="Times New Roman" w:hAnsi="Times New Roman"/>
          <w:sz w:val="24"/>
          <w:szCs w:val="24"/>
        </w:rPr>
      </w:pPr>
    </w:p>
    <w:p w:rsidR="006A416F" w:rsidRPr="00DF174E" w:rsidRDefault="006A416F" w:rsidP="00DF174E">
      <w:pPr>
        <w:pStyle w:val="ListParagraph"/>
        <w:numPr>
          <w:ilvl w:val="0"/>
          <w:numId w:val="47"/>
        </w:numPr>
        <w:spacing w:after="0"/>
        <w:jc w:val="both"/>
        <w:rPr>
          <w:rFonts w:ascii="Times New Roman" w:hAnsi="Times New Roman"/>
          <w:sz w:val="24"/>
          <w:szCs w:val="24"/>
        </w:rPr>
      </w:pPr>
      <w:r w:rsidRPr="00DF174E">
        <w:rPr>
          <w:rFonts w:ascii="Times New Roman" w:hAnsi="Times New Roman"/>
          <w:sz w:val="24"/>
          <w:szCs w:val="24"/>
        </w:rPr>
        <w:t xml:space="preserve">Il est intégralement transférable : la personne garde le même compte tout au long de sa vie professionnelle et quel que soit son parcours professionnel. Le compte n’est jamais débité sans l’accord exprès du salarié et ne peut jamais être diminué du fait d’un changement d’employeur, quel que soit la fréquence des changements. </w:t>
      </w:r>
    </w:p>
    <w:p w:rsidR="006A416F" w:rsidRPr="00F0728A" w:rsidRDefault="006A416F">
      <w:pPr>
        <w:spacing w:after="0"/>
        <w:ind w:left="36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 xml:space="preserve">Il est régi selon les principes suivants : </w:t>
      </w:r>
    </w:p>
    <w:p w:rsidR="006A416F" w:rsidRPr="00F0728A" w:rsidRDefault="006A416F">
      <w:pPr>
        <w:spacing w:after="0"/>
        <w:jc w:val="both"/>
        <w:rPr>
          <w:rFonts w:ascii="Times New Roman" w:hAnsi="Times New Roman"/>
          <w:sz w:val="24"/>
          <w:szCs w:val="24"/>
        </w:rPr>
      </w:pPr>
    </w:p>
    <w:p w:rsidR="006A416F" w:rsidRPr="00F0728A" w:rsidRDefault="006A416F">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Les droits acquis par le salarié au titre du compte le sont à raison de 20h/an pour les salariés à temps plein</w:t>
      </w:r>
      <w:r>
        <w:rPr>
          <w:rStyle w:val="FootnoteReference"/>
          <w:rFonts w:ascii="Times New Roman" w:hAnsi="Times New Roman"/>
          <w:sz w:val="24"/>
          <w:szCs w:val="24"/>
        </w:rPr>
        <w:footnoteReference w:id="5"/>
      </w:r>
      <w:r w:rsidRPr="00F0728A">
        <w:rPr>
          <w:rFonts w:ascii="Times New Roman" w:hAnsi="Times New Roman"/>
          <w:sz w:val="24"/>
          <w:szCs w:val="24"/>
        </w:rPr>
        <w:t>. Des proratas sont effectués pour les salariés à temps partiel ou pour les salariés en contrat à durée déterminée. Les heures acquises et non utilisées à ce jour au titre du DIF par le salarié sont réputées acquises au titre du compte personnel de formation. Le compte est plafonné à 120 heures</w:t>
      </w:r>
      <w:r>
        <w:rPr>
          <w:rFonts w:ascii="Times New Roman" w:hAnsi="Times New Roman"/>
          <w:sz w:val="24"/>
          <w:szCs w:val="24"/>
        </w:rPr>
        <w:t> ;</w:t>
      </w:r>
      <w:r w:rsidRPr="00F0728A">
        <w:rPr>
          <w:rFonts w:ascii="Times New Roman" w:hAnsi="Times New Roman"/>
          <w:sz w:val="24"/>
          <w:szCs w:val="24"/>
        </w:rPr>
        <w:t xml:space="preserve"> </w:t>
      </w:r>
    </w:p>
    <w:p w:rsidR="006A416F" w:rsidRPr="00F0728A" w:rsidRDefault="006A416F">
      <w:pPr>
        <w:pStyle w:val="ListParagraph"/>
        <w:spacing w:after="0"/>
        <w:jc w:val="both"/>
        <w:rPr>
          <w:rFonts w:ascii="Times New Roman" w:hAnsi="Times New Roman"/>
          <w:sz w:val="24"/>
          <w:szCs w:val="24"/>
        </w:rPr>
      </w:pPr>
    </w:p>
    <w:p w:rsidR="006A416F" w:rsidRPr="00F0728A" w:rsidRDefault="006A416F" w:rsidP="00F0728A">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Le compte est mobilisé par la personne lorsqu’elle accède à une formation à titre individuel, qu’elle soit salarié ou demandeur d’emploi</w:t>
      </w:r>
      <w:r>
        <w:rPr>
          <w:rFonts w:ascii="Times New Roman" w:hAnsi="Times New Roman"/>
          <w:sz w:val="24"/>
          <w:szCs w:val="24"/>
        </w:rPr>
        <w:t> ;</w:t>
      </w:r>
    </w:p>
    <w:p w:rsidR="006A416F" w:rsidRPr="00F0728A" w:rsidRDefault="006A416F" w:rsidP="00DE4F83">
      <w:pPr>
        <w:pStyle w:val="ListParagraph"/>
        <w:spacing w:after="0"/>
        <w:jc w:val="both"/>
        <w:rPr>
          <w:rFonts w:ascii="Times New Roman" w:hAnsi="Times New Roman"/>
          <w:sz w:val="24"/>
          <w:szCs w:val="24"/>
        </w:rPr>
      </w:pPr>
    </w:p>
    <w:p w:rsidR="006A416F" w:rsidRPr="00F0728A" w:rsidRDefault="006A416F">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La transférabilité n’emporte pas monétisation des heures. Les droits acquis demeurent comptabilisés en heures, quel que soit le coût horaire de la formation</w:t>
      </w:r>
      <w:r>
        <w:rPr>
          <w:rFonts w:ascii="Times New Roman" w:hAnsi="Times New Roman"/>
          <w:sz w:val="24"/>
          <w:szCs w:val="24"/>
        </w:rPr>
        <w:t> ;</w:t>
      </w:r>
    </w:p>
    <w:p w:rsidR="006A416F" w:rsidRPr="00F0728A" w:rsidRDefault="006A416F" w:rsidP="00DE4F83">
      <w:pPr>
        <w:pStyle w:val="ListParagraph"/>
        <w:spacing w:after="0"/>
        <w:jc w:val="both"/>
        <w:rPr>
          <w:rFonts w:ascii="Times New Roman" w:hAnsi="Times New Roman"/>
          <w:sz w:val="24"/>
          <w:szCs w:val="24"/>
        </w:rPr>
      </w:pPr>
    </w:p>
    <w:p w:rsidR="006A416F" w:rsidRPr="00F0728A" w:rsidRDefault="006A416F">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Le salarié peut mobiliser son compte personnel avec l’accord de l’employeur.</w:t>
      </w:r>
      <w:r>
        <w:rPr>
          <w:rFonts w:ascii="Times New Roman" w:hAnsi="Times New Roman"/>
          <w:sz w:val="24"/>
          <w:szCs w:val="24"/>
        </w:rPr>
        <w:t xml:space="preserve"> Celui-ci lui notifie sa réponse dans un délai d’un mois. L’absence de réponse de l’employeur vaut acceptation. l’</w:t>
      </w:r>
      <w:r w:rsidRPr="00F0728A">
        <w:rPr>
          <w:rFonts w:ascii="Times New Roman" w:hAnsi="Times New Roman"/>
          <w:sz w:val="24"/>
          <w:szCs w:val="24"/>
        </w:rPr>
        <w:t xml:space="preserve"> accord</w:t>
      </w:r>
      <w:r>
        <w:rPr>
          <w:rFonts w:ascii="Times New Roman" w:hAnsi="Times New Roman"/>
          <w:sz w:val="24"/>
          <w:szCs w:val="24"/>
        </w:rPr>
        <w:t xml:space="preserve"> de l’employeur</w:t>
      </w:r>
      <w:r w:rsidRPr="00F0728A">
        <w:rPr>
          <w:rFonts w:ascii="Times New Roman" w:hAnsi="Times New Roman"/>
          <w:sz w:val="24"/>
          <w:szCs w:val="24"/>
        </w:rPr>
        <w:t xml:space="preserve"> n’est pas nécessaire lorsque le salarié entend bénéficier d’un congé individuel de formation. Lorsque le salarié souhaite mobiliser son compte en dehors du congé individuel de formation, l’employeur peut abonder le compte du salarié au-delà du nombre d’heures créditées sur le compte de manière à permettre au salarié d’accéder à une formation qualifiante ou certifiante</w:t>
      </w:r>
      <w:r>
        <w:rPr>
          <w:rFonts w:ascii="Times New Roman" w:hAnsi="Times New Roman"/>
          <w:sz w:val="24"/>
          <w:szCs w:val="24"/>
        </w:rPr>
        <w:t> ;</w:t>
      </w:r>
      <w:r w:rsidRPr="00F0728A">
        <w:rPr>
          <w:rFonts w:ascii="Times New Roman" w:hAnsi="Times New Roman"/>
          <w:sz w:val="24"/>
          <w:szCs w:val="24"/>
        </w:rPr>
        <w:t xml:space="preserve"> </w:t>
      </w:r>
    </w:p>
    <w:p w:rsidR="006A416F" w:rsidRPr="00F0728A" w:rsidRDefault="006A416F" w:rsidP="00DE4F83">
      <w:pPr>
        <w:pStyle w:val="ListParagraph"/>
        <w:spacing w:after="0"/>
        <w:jc w:val="both"/>
        <w:rPr>
          <w:rFonts w:ascii="Times New Roman" w:hAnsi="Times New Roman"/>
          <w:sz w:val="24"/>
          <w:szCs w:val="24"/>
        </w:rPr>
      </w:pPr>
    </w:p>
    <w:p w:rsidR="006A416F" w:rsidRPr="00F0728A" w:rsidRDefault="006A416F">
      <w:pPr>
        <w:pStyle w:val="ListParagraph"/>
        <w:numPr>
          <w:ilvl w:val="0"/>
          <w:numId w:val="23"/>
        </w:numPr>
        <w:spacing w:after="0"/>
        <w:jc w:val="both"/>
        <w:rPr>
          <w:rFonts w:ascii="Times New Roman" w:hAnsi="Times New Roman"/>
          <w:sz w:val="24"/>
          <w:szCs w:val="24"/>
        </w:rPr>
      </w:pPr>
      <w:r w:rsidRPr="00F0728A">
        <w:rPr>
          <w:rFonts w:ascii="Times New Roman" w:hAnsi="Times New Roman"/>
          <w:sz w:val="24"/>
          <w:szCs w:val="24"/>
        </w:rPr>
        <w:t>Le demandeur d’emploi peut mobiliser son compte dès lors que la formation visée correspond à une des priorités de formation définie conjointement par les partenaires sociaux et les pouvoirs publics, ou accéder au socle de compétences tel que défini par les articles 39 et 40 de l’accord national interprofessionnel du 7 janvier 2009.</w:t>
      </w:r>
    </w:p>
    <w:p w:rsidR="006A416F" w:rsidRPr="00F0728A" w:rsidRDefault="006A416F">
      <w:pPr>
        <w:spacing w:after="0"/>
        <w:ind w:left="36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Le financement du compte personnel de formation fait l’objet d’une concertation avec l’Etat et les Régions. Sa mise en place est conditionnée à un accord sur ses modalités de financement entre les partenaires sociaux, les Régions et l’Etat</w:t>
      </w:r>
      <w:r>
        <w:rPr>
          <w:rFonts w:ascii="Times New Roman" w:hAnsi="Times New Roman"/>
          <w:sz w:val="24"/>
          <w:szCs w:val="24"/>
        </w:rPr>
        <w:t>, qui engageront une concertation sur ce sujet dans les plus brefs délais</w:t>
      </w:r>
      <w:r w:rsidRPr="00F0728A">
        <w:rPr>
          <w:rFonts w:ascii="Times New Roman" w:hAnsi="Times New Roman"/>
          <w:sz w:val="24"/>
          <w:szCs w:val="24"/>
        </w:rPr>
        <w:t xml:space="preserv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Une personne sortie du système de formation initiale sans qualification peut bénéficier, avant son premier emploi, d’un compte personnel de formation pris en charge financièrement par les pouvoirs publics.</w:t>
      </w:r>
    </w:p>
    <w:p w:rsidR="006A416F" w:rsidRDefault="006A416F" w:rsidP="00DE4F83">
      <w:pPr>
        <w:spacing w:after="0"/>
        <w:jc w:val="both"/>
        <w:rPr>
          <w:rFonts w:ascii="Times New Roman" w:hAnsi="Times New Roman"/>
          <w:sz w:val="24"/>
          <w:szCs w:val="24"/>
        </w:rPr>
      </w:pPr>
    </w:p>
    <w:p w:rsidR="006A416F" w:rsidRPr="00F0728A" w:rsidRDefault="006A416F" w:rsidP="00DE4F83">
      <w:pPr>
        <w:spacing w:after="0"/>
        <w:jc w:val="both"/>
        <w:rPr>
          <w:rFonts w:ascii="Times New Roman" w:hAnsi="Times New Roman"/>
          <w:sz w:val="24"/>
          <w:szCs w:val="24"/>
        </w:rPr>
      </w:pPr>
      <w:r>
        <w:rPr>
          <w:rFonts w:ascii="Times New Roman" w:hAnsi="Times New Roman"/>
          <w:sz w:val="24"/>
          <w:szCs w:val="24"/>
        </w:rPr>
        <w:t>Les partenaires sociaux adapteront les dispositions conventionnelles interprofessionnelles en vigueur, impactées par le présent article.</w:t>
      </w:r>
    </w:p>
    <w:p w:rsidR="006A416F" w:rsidRDefault="006A416F" w:rsidP="00DE4F83">
      <w:pPr>
        <w:spacing w:after="0"/>
        <w:jc w:val="both"/>
        <w:rPr>
          <w:rFonts w:ascii="Times New Roman" w:hAnsi="Times New Roman"/>
          <w:sz w:val="24"/>
          <w:szCs w:val="24"/>
        </w:rPr>
      </w:pPr>
    </w:p>
    <w:p w:rsidR="006A416F" w:rsidRPr="00F0728A" w:rsidRDefault="006A416F" w:rsidP="00DE4F83">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6</w:t>
      </w:r>
      <w:r w:rsidRPr="00F0728A">
        <w:rPr>
          <w:rFonts w:ascii="Times New Roman" w:hAnsi="Times New Roman"/>
          <w:b/>
          <w:sz w:val="24"/>
          <w:szCs w:val="24"/>
        </w:rPr>
        <w:t xml:space="preserve"> – Assouplissement des conditions d’accès des salariés de moins de 30 ans au CIF-CDD</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Afin de faciliter l’accès des salariés de moins de 30 ans en CDD au bénéfice d’un CIF, les deux conditions cumulatives fixées par l’article R.6322-20 du code du travail sont ramenées pour les intéressés à une seule condition de 4 mois de travail consécutifs ou non en CDD au cours des 28 derniers mois.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7</w:t>
      </w:r>
      <w:r w:rsidRPr="00F0728A">
        <w:rPr>
          <w:rFonts w:ascii="Times New Roman" w:hAnsi="Times New Roman"/>
          <w:b/>
          <w:sz w:val="24"/>
          <w:szCs w:val="24"/>
        </w:rPr>
        <w:t xml:space="preserve"> - Création d’un droit à une période de mobilité volontaire sécurisée</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Afin de développer leurs compétences, les salariés souhaitent de plus en plus pouvoir changer d’emploi, mais peuvent y renoncer faute de la sécurisation adaptée. </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Sans préjudice des dispositions relatives au congé de reclassement et au congé de mobilité, le salarié qui justifie d’une ancienneté minimale de deux ans</w:t>
      </w:r>
      <w:r>
        <w:rPr>
          <w:rFonts w:ascii="Times New Roman" w:hAnsi="Times New Roman"/>
          <w:sz w:val="24"/>
          <w:szCs w:val="24"/>
        </w:rPr>
        <w:t xml:space="preserve"> dans une entreprise de 300 salariés et plus</w:t>
      </w:r>
      <w:r w:rsidRPr="00F0728A">
        <w:rPr>
          <w:rFonts w:ascii="Times New Roman" w:hAnsi="Times New Roman"/>
          <w:sz w:val="24"/>
          <w:szCs w:val="24"/>
        </w:rPr>
        <w:t>, peut, à son initiative et avec l’accord de son employeur, mettre en œuvre une « période de mobilité » lui permettant de découvrir un emploi dans une autre entreprise.</w:t>
      </w:r>
    </w:p>
    <w:p w:rsidR="006A416F" w:rsidRPr="00F0728A" w:rsidRDefault="006A416F">
      <w:pPr>
        <w:spacing w:after="0"/>
        <w:jc w:val="both"/>
        <w:rPr>
          <w:rFonts w:ascii="Times New Roman" w:hAnsi="Times New Roman"/>
          <w:sz w:val="24"/>
          <w:szCs w:val="24"/>
        </w:rPr>
      </w:pPr>
    </w:p>
    <w:p w:rsidR="006A416F" w:rsidRPr="00F0728A" w:rsidRDefault="006A416F">
      <w:pPr>
        <w:pStyle w:val="ListParagraph"/>
        <w:numPr>
          <w:ilvl w:val="0"/>
          <w:numId w:val="33"/>
        </w:numPr>
        <w:spacing w:after="0"/>
        <w:jc w:val="both"/>
        <w:rPr>
          <w:rFonts w:ascii="Times New Roman" w:hAnsi="Times New Roman"/>
          <w:b/>
          <w:sz w:val="24"/>
          <w:szCs w:val="24"/>
        </w:rPr>
      </w:pPr>
      <w:r w:rsidRPr="00F0728A">
        <w:rPr>
          <w:rFonts w:ascii="Times New Roman" w:hAnsi="Times New Roman"/>
          <w:b/>
          <w:sz w:val="24"/>
          <w:szCs w:val="24"/>
        </w:rPr>
        <w:t xml:space="preserve"> Modalités de mise en œuvre </w:t>
      </w:r>
    </w:p>
    <w:p w:rsidR="006A416F" w:rsidRPr="00F0728A" w:rsidRDefault="006A416F">
      <w:pPr>
        <w:spacing w:after="0"/>
        <w:ind w:left="360"/>
        <w:jc w:val="both"/>
        <w:rPr>
          <w:rFonts w:ascii="Times New Roman" w:hAnsi="Times New Roman"/>
          <w:b/>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 xml:space="preserve">La période de mobilité est mise en œuvre par accord entre l’employeur et le salarié. Elle donne lieu à la conclusion d’un avenant au contrat de travail, préalable à sa prise d’effet. </w:t>
      </w:r>
    </w:p>
    <w:p w:rsidR="006A416F"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L’avenant prévoit l’objet, la durée et la date de prise d’effet de la période de mobilité. Il précise que, pendant cette période, le contrat de travail est suspendu.</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Pr>
          <w:rFonts w:ascii="Times New Roman" w:hAnsi="Times New Roman"/>
          <w:sz w:val="24"/>
          <w:szCs w:val="24"/>
        </w:rPr>
        <w:t>Si la demande de mobilité du salarié a fait l’objet de deux refus successifs de l’employeur, l’intéressé bénéficie d’un accès privilégié au CIF.</w:t>
      </w:r>
    </w:p>
    <w:p w:rsidR="006A416F" w:rsidRPr="00F0728A" w:rsidRDefault="006A416F">
      <w:pPr>
        <w:spacing w:after="0"/>
        <w:jc w:val="both"/>
        <w:rPr>
          <w:rFonts w:ascii="Times New Roman" w:hAnsi="Times New Roman"/>
          <w:sz w:val="24"/>
          <w:szCs w:val="24"/>
        </w:rPr>
      </w:pPr>
    </w:p>
    <w:p w:rsidR="006A416F" w:rsidRPr="00F0728A" w:rsidRDefault="006A416F">
      <w:pPr>
        <w:pStyle w:val="ListParagraph"/>
        <w:numPr>
          <w:ilvl w:val="0"/>
          <w:numId w:val="33"/>
        </w:numPr>
        <w:spacing w:after="0"/>
        <w:jc w:val="both"/>
        <w:rPr>
          <w:rFonts w:ascii="Times New Roman" w:hAnsi="Times New Roman"/>
          <w:b/>
          <w:sz w:val="24"/>
          <w:szCs w:val="24"/>
        </w:rPr>
      </w:pPr>
      <w:r w:rsidRPr="00F0728A">
        <w:rPr>
          <w:rFonts w:ascii="Times New Roman" w:hAnsi="Times New Roman"/>
          <w:b/>
          <w:sz w:val="24"/>
          <w:szCs w:val="24"/>
        </w:rPr>
        <w:t xml:space="preserve"> Cessation de la période de mobilité</w:t>
      </w:r>
    </w:p>
    <w:p w:rsidR="006A416F" w:rsidRPr="00F0728A" w:rsidRDefault="006A416F">
      <w:pPr>
        <w:spacing w:after="0"/>
        <w:ind w:left="360"/>
        <w:jc w:val="both"/>
        <w:rPr>
          <w:rFonts w:ascii="Times New Roman" w:hAnsi="Times New Roman"/>
          <w:b/>
          <w:sz w:val="24"/>
          <w:szCs w:val="24"/>
        </w:rPr>
      </w:pPr>
    </w:p>
    <w:p w:rsidR="006A416F" w:rsidRPr="00F0728A" w:rsidRDefault="006A416F" w:rsidP="00F0728A">
      <w:pPr>
        <w:spacing w:after="0"/>
        <w:jc w:val="both"/>
        <w:rPr>
          <w:rFonts w:ascii="Times New Roman" w:hAnsi="Times New Roman"/>
          <w:sz w:val="24"/>
          <w:szCs w:val="24"/>
        </w:rPr>
      </w:pPr>
      <w:r w:rsidRPr="00F0728A">
        <w:rPr>
          <w:rFonts w:ascii="Times New Roman" w:hAnsi="Times New Roman"/>
          <w:sz w:val="24"/>
          <w:szCs w:val="24"/>
        </w:rPr>
        <w:t>a) Cessation avant le terme de la période de mobilité</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Avant le terme prévu à l’avenant visé à l’article 5-1, le retour du salarié dans l’entreprise ne peut intervenir que du commun accord des parties. Toutefois, l’avenant peut prévoir un droit au retour du salarié dans l’entreprise d’origine à tout moment pendant la période de mobilité, </w:t>
      </w:r>
      <w:r>
        <w:rPr>
          <w:rFonts w:ascii="Times New Roman" w:hAnsi="Times New Roman"/>
          <w:sz w:val="24"/>
          <w:szCs w:val="24"/>
        </w:rPr>
        <w:t>notamment</w:t>
      </w:r>
      <w:r w:rsidRPr="00F0728A">
        <w:rPr>
          <w:rFonts w:ascii="Times New Roman" w:hAnsi="Times New Roman"/>
          <w:sz w:val="24"/>
          <w:szCs w:val="24"/>
        </w:rPr>
        <w:t xml:space="preserve"> pendant la période d’essai dans l’autre entreprise ou en cas de fermeture de l’entreprise d’accueil.</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rsidP="00F0728A">
      <w:pPr>
        <w:spacing w:after="0"/>
        <w:jc w:val="both"/>
        <w:rPr>
          <w:rFonts w:ascii="Times New Roman" w:hAnsi="Times New Roman"/>
          <w:sz w:val="24"/>
          <w:szCs w:val="24"/>
        </w:rPr>
      </w:pPr>
      <w:r w:rsidRPr="00F0728A">
        <w:rPr>
          <w:rFonts w:ascii="Times New Roman" w:hAnsi="Times New Roman"/>
          <w:sz w:val="24"/>
          <w:szCs w:val="24"/>
        </w:rPr>
        <w:t>b) Cessation au terme de la période de mobilité</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 xml:space="preserve">Au terme de la période de mobilité, le salarié choisit de revenir, ou non, dans l’entreprise d’origine.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L’avenant au contrat de travail mentionné à l’article 5-1 prévoit le délai de prévenance, avant le terme de la période de mobilité, que le salarié observe pour informer l’employeur de son choix. A défaut d’information du salarié avant le terme de la période de mobilité, il est présumé avoir choisi de revenir dans l’entreprise d’origine.</w:t>
      </w:r>
    </w:p>
    <w:p w:rsidR="006A416F" w:rsidRPr="00F0728A" w:rsidRDefault="006A416F">
      <w:pPr>
        <w:spacing w:after="0"/>
        <w:jc w:val="both"/>
        <w:rPr>
          <w:rFonts w:ascii="Times New Roman" w:hAnsi="Times New Roman"/>
          <w:sz w:val="24"/>
          <w:szCs w:val="24"/>
        </w:rPr>
      </w:pPr>
    </w:p>
    <w:p w:rsidR="006A416F" w:rsidRPr="0034744F" w:rsidRDefault="006A416F" w:rsidP="0034744F">
      <w:pPr>
        <w:spacing w:after="0"/>
        <w:jc w:val="both"/>
        <w:rPr>
          <w:rFonts w:ascii="Times New Roman" w:hAnsi="Times New Roman"/>
          <w:sz w:val="24"/>
          <w:szCs w:val="24"/>
        </w:rPr>
      </w:pPr>
      <w:r w:rsidRPr="0034744F">
        <w:rPr>
          <w:rFonts w:ascii="Times New Roman" w:hAnsi="Times New Roman"/>
          <w:sz w:val="24"/>
          <w:szCs w:val="24"/>
        </w:rPr>
        <w:t xml:space="preserve">Lorsque le salarié ne souhaite pas revenir dans son entreprise d’origine, le contrat de travail est rompu au terme de la période de mobilité. Cette rupture constitue une démission et n’est soumise à aucun préavis de la part de l’une ou l’autre des parties. </w:t>
      </w:r>
    </w:p>
    <w:p w:rsidR="006A416F" w:rsidRPr="00F0728A" w:rsidRDefault="006A416F">
      <w:pPr>
        <w:pStyle w:val="ListParagraph"/>
        <w:spacing w:after="0"/>
        <w:jc w:val="both"/>
        <w:rPr>
          <w:rFonts w:ascii="Times New Roman" w:hAnsi="Times New Roman"/>
          <w:sz w:val="24"/>
          <w:szCs w:val="24"/>
        </w:rPr>
      </w:pPr>
    </w:p>
    <w:p w:rsidR="006A416F" w:rsidRPr="0034744F" w:rsidRDefault="006A416F" w:rsidP="0034744F">
      <w:pPr>
        <w:spacing w:after="0"/>
        <w:jc w:val="both"/>
        <w:rPr>
          <w:rFonts w:ascii="Times New Roman" w:hAnsi="Times New Roman"/>
          <w:sz w:val="24"/>
          <w:szCs w:val="24"/>
        </w:rPr>
      </w:pPr>
      <w:r w:rsidRPr="0034744F">
        <w:rPr>
          <w:rFonts w:ascii="Times New Roman" w:hAnsi="Times New Roman"/>
          <w:sz w:val="24"/>
          <w:szCs w:val="24"/>
        </w:rPr>
        <w:t>En cas de démission du salarié au terme de la période de mobilité, dans les conditions visées au présent article, l’entreprise est exonérée, à l’égard du salarié concerné, de l’ensemble des obligations légales et conventionnelles qui auraient résulté d’un licenciement pour motif économique.</w:t>
      </w:r>
    </w:p>
    <w:p w:rsidR="006A416F" w:rsidRDefault="006A416F">
      <w:pPr>
        <w:pStyle w:val="ListParagraph"/>
        <w:spacing w:after="0"/>
        <w:jc w:val="both"/>
        <w:rPr>
          <w:rFonts w:ascii="Times New Roman" w:hAnsi="Times New Roman"/>
          <w:sz w:val="24"/>
          <w:szCs w:val="24"/>
        </w:rPr>
      </w:pPr>
    </w:p>
    <w:p w:rsidR="006A416F" w:rsidRDefault="006A416F" w:rsidP="0003128A">
      <w:pPr>
        <w:pStyle w:val="ListParagraph"/>
        <w:numPr>
          <w:ilvl w:val="0"/>
          <w:numId w:val="56"/>
        </w:numPr>
        <w:spacing w:after="0"/>
        <w:jc w:val="both"/>
        <w:rPr>
          <w:rFonts w:ascii="Times New Roman" w:hAnsi="Times New Roman"/>
          <w:sz w:val="24"/>
          <w:szCs w:val="24"/>
        </w:rPr>
      </w:pPr>
      <w:r>
        <w:rPr>
          <w:rFonts w:ascii="Times New Roman" w:hAnsi="Times New Roman"/>
          <w:sz w:val="24"/>
          <w:szCs w:val="24"/>
        </w:rPr>
        <w:t>Retour dans l’entreprise d’origine</w:t>
      </w:r>
    </w:p>
    <w:p w:rsidR="006A416F" w:rsidRDefault="006A416F" w:rsidP="0034744F">
      <w:pPr>
        <w:pStyle w:val="ListParagraph"/>
        <w:spacing w:after="0"/>
        <w:ind w:left="426"/>
        <w:jc w:val="both"/>
        <w:rPr>
          <w:rFonts w:ascii="Times New Roman" w:hAnsi="Times New Roman"/>
          <w:sz w:val="24"/>
          <w:szCs w:val="24"/>
        </w:rPr>
      </w:pPr>
    </w:p>
    <w:p w:rsidR="006A416F" w:rsidRPr="0034744F" w:rsidRDefault="006A416F" w:rsidP="0034744F">
      <w:pPr>
        <w:spacing w:after="0"/>
        <w:ind w:left="66"/>
        <w:jc w:val="both"/>
        <w:rPr>
          <w:rFonts w:ascii="Times New Roman" w:hAnsi="Times New Roman"/>
          <w:sz w:val="24"/>
          <w:szCs w:val="24"/>
        </w:rPr>
      </w:pPr>
      <w:r w:rsidRPr="0034744F">
        <w:rPr>
          <w:rFonts w:ascii="Times New Roman" w:hAnsi="Times New Roman"/>
          <w:sz w:val="24"/>
          <w:szCs w:val="24"/>
        </w:rPr>
        <w:t>Lorsque le salarié revient dans son entreprise d’origine dans les conditions prévues au</w:t>
      </w:r>
      <w:r>
        <w:rPr>
          <w:rFonts w:ascii="Times New Roman" w:hAnsi="Times New Roman"/>
          <w:sz w:val="24"/>
          <w:szCs w:val="24"/>
        </w:rPr>
        <w:t xml:space="preserve">x </w:t>
      </w:r>
      <w:r w:rsidRPr="0034744F">
        <w:rPr>
          <w:rFonts w:ascii="Times New Roman" w:hAnsi="Times New Roman"/>
          <w:sz w:val="24"/>
          <w:szCs w:val="24"/>
        </w:rPr>
        <w:t xml:space="preserve"> a) et b) ci-dessus, il retrouve, de plein droit, son emploi antérieur ou un emploi similaire, assorti d’une qualification et d’une rémunération qui ne peut être inférieure à celles de son emploi antérieur, ainsi que du maintien à titre personnel de sa classification.</w:t>
      </w:r>
    </w:p>
    <w:p w:rsidR="006A416F" w:rsidRPr="0034744F" w:rsidRDefault="006A416F" w:rsidP="0034744F">
      <w:pPr>
        <w:pStyle w:val="ListParagraph"/>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rsidP="00F0728A">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8</w:t>
      </w:r>
      <w:r w:rsidRPr="00F0728A">
        <w:rPr>
          <w:rFonts w:ascii="Times New Roman" w:hAnsi="Times New Roman"/>
          <w:b/>
          <w:sz w:val="24"/>
          <w:szCs w:val="24"/>
        </w:rPr>
        <w:t xml:space="preserve"> </w:t>
      </w:r>
      <w:r w:rsidRPr="007C4FF0">
        <w:rPr>
          <w:rFonts w:ascii="Times New Roman" w:hAnsi="Times New Roman"/>
          <w:b/>
          <w:sz w:val="24"/>
          <w:szCs w:val="24"/>
        </w:rPr>
        <w:t>–</w:t>
      </w:r>
      <w:r w:rsidRPr="00F0728A">
        <w:rPr>
          <w:rFonts w:ascii="Times New Roman" w:hAnsi="Times New Roman"/>
          <w:b/>
          <w:sz w:val="24"/>
          <w:szCs w:val="24"/>
        </w:rPr>
        <w:t xml:space="preserve"> Accompagnement financier des demandeurs d’emploi bénéficiant d’un accès au contrat de sécurisation professionnel expérimental</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Afin d’inciter certains bénéficiaires potentiels du CSP expérimental mis en place par l’ANI du 31 mai 2011, à accepter le bénéfice du dispositif, une prime de 1000 euros, financée par le régime d’assurance chômage, est versée au 7</w:t>
      </w:r>
      <w:r w:rsidRPr="00F0728A">
        <w:rPr>
          <w:rFonts w:ascii="Times New Roman" w:hAnsi="Times New Roman"/>
          <w:sz w:val="24"/>
          <w:szCs w:val="24"/>
          <w:vertAlign w:val="superscript"/>
        </w:rPr>
        <w:t>ème</w:t>
      </w:r>
      <w:r w:rsidRPr="00F0728A">
        <w:rPr>
          <w:rFonts w:ascii="Times New Roman" w:hAnsi="Times New Roman"/>
          <w:sz w:val="24"/>
          <w:szCs w:val="24"/>
        </w:rPr>
        <w:t xml:space="preserve"> mois d’accompagnement pour ceux d’entre eux engagés dans une formation certifiante ou qualifiante et dont les droits à l’assurance-chômage s’éteignent avant la fin de la formation engagée.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Dans le cas où l’employeur aurait omis d’informer le salarié concerné de la possibilité de bénéficier d’un CSP, cette information est assurée par Pôle Emploi, auprès de qui il a alors la possibilité de souscrire à ce contrat.</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9</w:t>
      </w:r>
      <w:r w:rsidRPr="00F0728A">
        <w:rPr>
          <w:rFonts w:ascii="Times New Roman" w:hAnsi="Times New Roman"/>
          <w:b/>
          <w:sz w:val="24"/>
          <w:szCs w:val="24"/>
        </w:rPr>
        <w:t xml:space="preserve"> – Développement de la préparation opérationnelle à l’emploi</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Dans le prolongement de l’accord national interprofessionnel du 7 janvier 2009 relatif au développement de la formation tout au long de la vie, la professionnalisation et la sécurisation des parcours professionnels, les parties signataires souhaitent développer la préparation opérationnelle à l’emploi en facilitant sa mise en œuvre. </w:t>
      </w:r>
    </w:p>
    <w:p w:rsidR="006A416F" w:rsidRPr="00F0728A" w:rsidRDefault="006A416F">
      <w:pPr>
        <w:spacing w:after="0"/>
        <w:jc w:val="both"/>
        <w:rPr>
          <w:rFonts w:ascii="Times New Roman" w:hAnsi="Times New Roman"/>
          <w:sz w:val="24"/>
          <w:szCs w:val="24"/>
        </w:rPr>
      </w:pPr>
    </w:p>
    <w:p w:rsidR="006A416F" w:rsidRPr="00F0728A" w:rsidRDefault="006A416F" w:rsidP="0082365E">
      <w:pPr>
        <w:spacing w:after="0"/>
        <w:jc w:val="both"/>
        <w:rPr>
          <w:rFonts w:ascii="Times New Roman" w:hAnsi="Times New Roman"/>
          <w:sz w:val="24"/>
          <w:szCs w:val="24"/>
        </w:rPr>
      </w:pPr>
      <w:r w:rsidRPr="00F0728A">
        <w:rPr>
          <w:rFonts w:ascii="Times New Roman" w:hAnsi="Times New Roman"/>
          <w:sz w:val="24"/>
          <w:szCs w:val="24"/>
        </w:rPr>
        <w:t xml:space="preserve">À ce titre, les Opca ayant connaissance d'offres d'emploi de leurs entreprises cotisantes et ayant signé une convention avec Pôle Emploi sur la P.O.E pourront proposer cette formule, en coordination avec les entreprises intéressées, </w:t>
      </w:r>
      <w:r>
        <w:rPr>
          <w:rFonts w:ascii="Times New Roman" w:hAnsi="Times New Roman"/>
          <w:sz w:val="24"/>
          <w:szCs w:val="24"/>
        </w:rPr>
        <w:t>à</w:t>
      </w:r>
      <w:r w:rsidRPr="00F0728A">
        <w:rPr>
          <w:rFonts w:ascii="Times New Roman" w:hAnsi="Times New Roman"/>
          <w:sz w:val="24"/>
          <w:szCs w:val="24"/>
        </w:rPr>
        <w:t xml:space="preserve"> des demandeurs d'emploi sélectionn</w:t>
      </w:r>
      <w:r>
        <w:rPr>
          <w:rFonts w:ascii="Times New Roman" w:hAnsi="Times New Roman"/>
          <w:sz w:val="24"/>
          <w:szCs w:val="24"/>
        </w:rPr>
        <w:t>é</w:t>
      </w:r>
      <w:r w:rsidRPr="00F0728A">
        <w:rPr>
          <w:rFonts w:ascii="Times New Roman" w:hAnsi="Times New Roman"/>
          <w:sz w:val="24"/>
          <w:szCs w:val="24"/>
        </w:rPr>
        <w:t>s par Pôle Emploi.</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Cette possibilité est subordonnée:</w:t>
      </w:r>
    </w:p>
    <w:p w:rsidR="006A416F" w:rsidRPr="00F0728A" w:rsidRDefault="006A416F">
      <w:pPr>
        <w:spacing w:after="0"/>
        <w:jc w:val="both"/>
        <w:rPr>
          <w:rFonts w:ascii="Times New Roman" w:hAnsi="Times New Roman"/>
          <w:sz w:val="24"/>
          <w:szCs w:val="24"/>
        </w:rPr>
      </w:pPr>
    </w:p>
    <w:p w:rsidR="006A416F" w:rsidRPr="00F0728A" w:rsidRDefault="006A416F" w:rsidP="00DF174E">
      <w:pPr>
        <w:numPr>
          <w:ilvl w:val="0"/>
          <w:numId w:val="23"/>
        </w:numPr>
        <w:spacing w:after="0"/>
        <w:jc w:val="both"/>
        <w:rPr>
          <w:rFonts w:ascii="Times New Roman" w:hAnsi="Times New Roman"/>
          <w:sz w:val="24"/>
          <w:szCs w:val="24"/>
        </w:rPr>
      </w:pPr>
      <w:r w:rsidRPr="00F0728A">
        <w:rPr>
          <w:rFonts w:ascii="Times New Roman" w:hAnsi="Times New Roman"/>
          <w:sz w:val="24"/>
          <w:szCs w:val="24"/>
        </w:rPr>
        <w:t>pour les Opca de branche à l'autorisation des branches professionnelles, donnée après avis de la C.N.P.E de chaque branche concernée</w:t>
      </w:r>
      <w:r>
        <w:rPr>
          <w:rFonts w:ascii="Times New Roman" w:hAnsi="Times New Roman"/>
          <w:sz w:val="24"/>
          <w:szCs w:val="24"/>
        </w:rPr>
        <w:t> ;</w:t>
      </w:r>
    </w:p>
    <w:p w:rsidR="006A416F" w:rsidRPr="00DF174E" w:rsidRDefault="006A416F" w:rsidP="00DF174E">
      <w:pPr>
        <w:pStyle w:val="ListParagraph"/>
        <w:numPr>
          <w:ilvl w:val="0"/>
          <w:numId w:val="23"/>
        </w:numPr>
        <w:spacing w:after="0"/>
        <w:jc w:val="both"/>
        <w:rPr>
          <w:rFonts w:ascii="Times New Roman" w:hAnsi="Times New Roman"/>
          <w:sz w:val="24"/>
          <w:szCs w:val="24"/>
        </w:rPr>
      </w:pPr>
      <w:r w:rsidRPr="00DF174E">
        <w:rPr>
          <w:rFonts w:ascii="Times New Roman" w:hAnsi="Times New Roman"/>
          <w:sz w:val="24"/>
          <w:szCs w:val="24"/>
        </w:rPr>
        <w:t>pour les Opca interprofessionnels et interbranches (Agefos et Opcalia) à l'avis de la commission paritaire nationale d'application de l'accord (C.P.N.A.A) constituée auprès de l'</w:t>
      </w:r>
      <w:r w:rsidRPr="00DE4F83">
        <w:rPr>
          <w:rFonts w:ascii="Times New Roman" w:hAnsi="Times New Roman"/>
          <w:sz w:val="24"/>
          <w:szCs w:val="24"/>
        </w:rPr>
        <w:t>Opca.</w:t>
      </w:r>
    </w:p>
    <w:p w:rsidR="006A416F"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10</w:t>
      </w:r>
      <w:r w:rsidRPr="00F0728A">
        <w:rPr>
          <w:rFonts w:ascii="Times New Roman" w:hAnsi="Times New Roman"/>
          <w:b/>
          <w:sz w:val="24"/>
          <w:szCs w:val="24"/>
        </w:rPr>
        <w:t xml:space="preserve"> – Faciliter l’accès au logement en mobilisant Action Logement</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color w:val="000000"/>
          <w:sz w:val="24"/>
          <w:szCs w:val="24"/>
          <w:lang w:eastAsia="fr-FR"/>
        </w:rPr>
      </w:pPr>
      <w:r w:rsidRPr="00F0728A">
        <w:rPr>
          <w:rFonts w:ascii="Times New Roman" w:hAnsi="Times New Roman"/>
          <w:color w:val="000000"/>
          <w:sz w:val="24"/>
          <w:szCs w:val="24"/>
          <w:lang w:eastAsia="fr-FR"/>
        </w:rPr>
        <w:t>Suivant le cadrage financier et les engagements réciproques convenus entre l’Etat et l’UESL le 12 novembre 2012, les parties signataires conviennent que l’UESL affectera annuellement sur la période triennale 2013/2015 :</w:t>
      </w:r>
    </w:p>
    <w:p w:rsidR="006A416F" w:rsidRPr="00F0728A" w:rsidRDefault="006A416F">
      <w:pPr>
        <w:numPr>
          <w:ilvl w:val="0"/>
          <w:numId w:val="22"/>
        </w:numPr>
        <w:spacing w:before="100" w:beforeAutospacing="1" w:after="0" w:line="240" w:lineRule="auto"/>
        <w:jc w:val="both"/>
        <w:rPr>
          <w:rFonts w:ascii="Times New Roman" w:hAnsi="Times New Roman"/>
          <w:color w:val="000000"/>
          <w:sz w:val="24"/>
          <w:szCs w:val="24"/>
          <w:lang w:eastAsia="fr-FR"/>
        </w:rPr>
      </w:pPr>
      <w:r w:rsidRPr="00F0728A">
        <w:rPr>
          <w:rFonts w:ascii="Times New Roman" w:hAnsi="Times New Roman"/>
          <w:color w:val="000000"/>
          <w:sz w:val="24"/>
          <w:szCs w:val="24"/>
          <w:lang w:eastAsia="fr-FR"/>
        </w:rPr>
        <w:t xml:space="preserve">100 M€ à la participation au financement de résidences collectives temporaires avec services proches de moyens d’accès aux centres villes ; </w:t>
      </w:r>
    </w:p>
    <w:p w:rsidR="006A416F" w:rsidRPr="00F0728A" w:rsidRDefault="006A416F">
      <w:pPr>
        <w:numPr>
          <w:ilvl w:val="0"/>
          <w:numId w:val="22"/>
        </w:numPr>
        <w:spacing w:before="100" w:beforeAutospacing="1" w:after="0" w:line="240" w:lineRule="auto"/>
        <w:jc w:val="both"/>
        <w:rPr>
          <w:rFonts w:ascii="Times New Roman" w:hAnsi="Times New Roman"/>
          <w:color w:val="000000"/>
          <w:sz w:val="24"/>
          <w:szCs w:val="24"/>
          <w:lang w:eastAsia="fr-FR"/>
        </w:rPr>
      </w:pPr>
      <w:r w:rsidRPr="00F0728A">
        <w:rPr>
          <w:rFonts w:ascii="Times New Roman" w:hAnsi="Times New Roman"/>
          <w:color w:val="000000"/>
          <w:sz w:val="24"/>
          <w:szCs w:val="24"/>
          <w:lang w:eastAsia="fr-FR"/>
        </w:rPr>
        <w:t xml:space="preserve">200 M€ à la participation au financement d’une offre de logements meublés en colocation situés en cœur de ville ; </w:t>
      </w:r>
    </w:p>
    <w:p w:rsidR="006A416F" w:rsidRPr="00F0728A" w:rsidRDefault="006A416F">
      <w:pPr>
        <w:numPr>
          <w:ilvl w:val="0"/>
          <w:numId w:val="22"/>
        </w:numPr>
        <w:spacing w:before="100" w:beforeAutospacing="1" w:after="0" w:line="240" w:lineRule="auto"/>
        <w:jc w:val="both"/>
        <w:rPr>
          <w:rFonts w:ascii="Times New Roman" w:hAnsi="Times New Roman"/>
          <w:color w:val="000000"/>
          <w:sz w:val="24"/>
          <w:szCs w:val="24"/>
          <w:lang w:eastAsia="fr-FR"/>
        </w:rPr>
      </w:pPr>
      <w:r w:rsidRPr="00F0728A">
        <w:rPr>
          <w:rFonts w:ascii="Times New Roman" w:hAnsi="Times New Roman"/>
          <w:color w:val="000000"/>
          <w:sz w:val="24"/>
          <w:szCs w:val="24"/>
          <w:lang w:eastAsia="fr-FR"/>
        </w:rPr>
        <w:t xml:space="preserve">100 à 150 M€ à la compensation mise en œuvre dans le cadre de la garantie des risques locatifs (GRL) ou de tout autre dispositif s’y substituant au bénéfice des salariés ; </w:t>
      </w:r>
    </w:p>
    <w:p w:rsidR="006A416F" w:rsidRPr="00F0728A" w:rsidRDefault="006A416F" w:rsidP="00DF174E">
      <w:pPr>
        <w:numPr>
          <w:ilvl w:val="0"/>
          <w:numId w:val="22"/>
        </w:numPr>
        <w:spacing w:after="0" w:line="240" w:lineRule="auto"/>
        <w:jc w:val="both"/>
        <w:rPr>
          <w:rFonts w:ascii="Times New Roman" w:hAnsi="Times New Roman"/>
          <w:color w:val="1F497D"/>
          <w:sz w:val="24"/>
          <w:szCs w:val="24"/>
          <w:lang w:eastAsia="fr-FR"/>
        </w:rPr>
      </w:pPr>
      <w:r w:rsidRPr="00DF174E">
        <w:rPr>
          <w:rFonts w:ascii="Times New Roman" w:hAnsi="Times New Roman"/>
          <w:color w:val="000000"/>
          <w:sz w:val="24"/>
          <w:szCs w:val="24"/>
          <w:lang w:eastAsia="fr-FR"/>
        </w:rPr>
        <w:t xml:space="preserve">120 M€ aux aides financières à la </w:t>
      </w:r>
      <w:r w:rsidRPr="00F0728A">
        <w:rPr>
          <w:rFonts w:ascii="Times New Roman" w:hAnsi="Times New Roman"/>
          <w:sz w:val="24"/>
          <w:szCs w:val="24"/>
          <w:lang w:eastAsia="fr-FR"/>
        </w:rPr>
        <w:t>mobilité (Mobili-Pass et Mobili-Jeunes).</w:t>
      </w:r>
    </w:p>
    <w:p w:rsidR="006A416F" w:rsidRPr="00F0728A" w:rsidRDefault="006A416F">
      <w:pPr>
        <w:spacing w:after="0" w:line="240" w:lineRule="auto"/>
        <w:ind w:left="360"/>
        <w:jc w:val="both"/>
        <w:rPr>
          <w:rFonts w:ascii="Times New Roman" w:hAnsi="Times New Roman"/>
          <w:color w:val="1F497D"/>
          <w:sz w:val="24"/>
          <w:szCs w:val="24"/>
          <w:lang w:eastAsia="fr-FR"/>
        </w:rPr>
      </w:pPr>
    </w:p>
    <w:p w:rsidR="006A416F" w:rsidRPr="00F0728A" w:rsidRDefault="006A416F">
      <w:pPr>
        <w:spacing w:after="0"/>
        <w:jc w:val="both"/>
        <w:rPr>
          <w:rFonts w:ascii="Times New Roman" w:hAnsi="Times New Roman"/>
          <w:color w:val="000000"/>
          <w:sz w:val="24"/>
          <w:szCs w:val="24"/>
          <w:lang w:eastAsia="fr-FR"/>
        </w:rPr>
      </w:pPr>
      <w:r w:rsidRPr="00F0728A">
        <w:rPr>
          <w:rFonts w:ascii="Times New Roman" w:hAnsi="Times New Roman"/>
          <w:color w:val="000000"/>
          <w:sz w:val="24"/>
          <w:szCs w:val="24"/>
          <w:lang w:eastAsia="fr-FR"/>
        </w:rPr>
        <w:t>Ces services et aides bénéficieront prioritairement aux primo-entrants sur le marché du travail, aux salariés sous contrats courts et aux salariés en mobilité professionnelle.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u w:val="single"/>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11</w:t>
      </w:r>
      <w:r w:rsidRPr="00F0728A">
        <w:rPr>
          <w:rFonts w:ascii="Times New Roman" w:hAnsi="Times New Roman"/>
          <w:b/>
          <w:sz w:val="24"/>
          <w:szCs w:val="24"/>
        </w:rPr>
        <w:t xml:space="preserve"> – Travail à temps partiel</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1/</w:t>
      </w:r>
      <w:r w:rsidRPr="00F0728A">
        <w:rPr>
          <w:rFonts w:ascii="Times New Roman" w:hAnsi="Times New Roman"/>
          <w:sz w:val="24"/>
          <w:szCs w:val="24"/>
        </w:rPr>
        <w:t xml:space="preserve"> / Sans préjudice des accords de branche et d’entreprises mentionnés à l’accord L.3122-2 du code du travail,</w:t>
      </w:r>
      <w:r>
        <w:rPr>
          <w:rFonts w:ascii="Times New Roman" w:hAnsi="Times New Roman"/>
          <w:sz w:val="24"/>
          <w:szCs w:val="24"/>
        </w:rPr>
        <w:t xml:space="preserve"> concernant le temps partiel, qui ne pourront toutefois pas </w:t>
      </w:r>
      <w:r w:rsidRPr="00651F24">
        <w:rPr>
          <w:rFonts w:ascii="Times New Roman" w:hAnsi="Times New Roman"/>
          <w:sz w:val="24"/>
          <w:szCs w:val="24"/>
        </w:rPr>
        <w:t>déroger au nombre minimum d’heures prévu au présent 2, lissées sur tout ou partie de l’année,</w:t>
      </w:r>
      <w:r>
        <w:rPr>
          <w:rFonts w:ascii="Times New Roman" w:hAnsi="Times New Roman"/>
          <w:sz w:val="24"/>
          <w:szCs w:val="24"/>
        </w:rPr>
        <w:t xml:space="preserve"> les branches professionnelles qui le souhaitent et </w:t>
      </w:r>
      <w:r w:rsidRPr="00F0728A">
        <w:rPr>
          <w:rFonts w:ascii="Times New Roman" w:hAnsi="Times New Roman"/>
          <w:sz w:val="24"/>
          <w:szCs w:val="24"/>
        </w:rPr>
        <w:t>les branches professionnelles dont au moins un tiers des effectifs est occupé à temps partiel</w:t>
      </w:r>
      <w:r>
        <w:rPr>
          <w:rFonts w:ascii="Times New Roman" w:hAnsi="Times New Roman"/>
          <w:sz w:val="24"/>
          <w:szCs w:val="24"/>
        </w:rPr>
        <w:t xml:space="preserve"> à la date du présent accord ou dès lors qu’elles franchissent le seuil,</w:t>
      </w:r>
      <w:r w:rsidRPr="00F0728A">
        <w:rPr>
          <w:rFonts w:ascii="Times New Roman" w:hAnsi="Times New Roman"/>
          <w:sz w:val="24"/>
          <w:szCs w:val="24"/>
        </w:rPr>
        <w:t xml:space="preserve"> ouvriront des négociations visant à organiser les modalités d’exercice du temps partiel dans les 3 mois suivant l’entrée en vigueur du présent accord.</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Les négociations devront notamment porter sur :</w:t>
      </w:r>
    </w:p>
    <w:p w:rsidR="006A416F" w:rsidRPr="00F0728A" w:rsidRDefault="006A416F">
      <w:pPr>
        <w:spacing w:after="0"/>
        <w:jc w:val="both"/>
        <w:rPr>
          <w:rFonts w:ascii="Times New Roman" w:hAnsi="Times New Roman"/>
          <w:sz w:val="24"/>
          <w:szCs w:val="24"/>
        </w:rPr>
      </w:pPr>
    </w:p>
    <w:p w:rsidR="006A416F" w:rsidRPr="00F0728A" w:rsidRDefault="006A416F">
      <w:pPr>
        <w:pStyle w:val="ListParagraph"/>
        <w:numPr>
          <w:ilvl w:val="0"/>
          <w:numId w:val="16"/>
        </w:numPr>
        <w:spacing w:after="0"/>
        <w:jc w:val="both"/>
        <w:rPr>
          <w:rFonts w:ascii="Times New Roman" w:hAnsi="Times New Roman"/>
          <w:sz w:val="24"/>
          <w:szCs w:val="24"/>
        </w:rPr>
      </w:pPr>
      <w:r w:rsidRPr="00F0728A">
        <w:rPr>
          <w:rFonts w:ascii="Times New Roman" w:hAnsi="Times New Roman"/>
          <w:sz w:val="24"/>
          <w:szCs w:val="24"/>
        </w:rPr>
        <w:t xml:space="preserve">les dérogations à la durée minimum hebdomadaire ou mensuelle du travail à temps partiel visée au point 2/ du présent article. Ces dérogations ne sont possibles que si les horaires de travail sont </w:t>
      </w:r>
      <w:r w:rsidRPr="0003128A">
        <w:rPr>
          <w:rFonts w:ascii="Times New Roman" w:hAnsi="Times New Roman"/>
          <w:sz w:val="24"/>
          <w:szCs w:val="24"/>
        </w:rPr>
        <w:t xml:space="preserve">réguliers </w:t>
      </w:r>
      <w:r w:rsidRPr="00F0728A">
        <w:rPr>
          <w:rFonts w:ascii="Times New Roman" w:hAnsi="Times New Roman"/>
          <w:sz w:val="24"/>
          <w:szCs w:val="24"/>
        </w:rPr>
        <w:t xml:space="preserve">ou laissent la possibilité au salarié, à sa demande, d’être embauché par un ou plusieurs autres employeurs afin d’atteindre </w:t>
      </w:r>
      <w:r>
        <w:rPr>
          <w:rFonts w:ascii="Times New Roman" w:hAnsi="Times New Roman"/>
          <w:sz w:val="24"/>
          <w:szCs w:val="24"/>
        </w:rPr>
        <w:t xml:space="preserve">au minimum </w:t>
      </w:r>
      <w:r w:rsidRPr="00F0728A">
        <w:rPr>
          <w:rFonts w:ascii="Times New Roman" w:hAnsi="Times New Roman"/>
          <w:sz w:val="24"/>
          <w:szCs w:val="24"/>
        </w:rPr>
        <w:t>la durée visée au 2/ du présent article</w:t>
      </w:r>
      <w:r>
        <w:rPr>
          <w:rFonts w:ascii="Times New Roman" w:hAnsi="Times New Roman"/>
          <w:sz w:val="24"/>
          <w:szCs w:val="24"/>
        </w:rPr>
        <w:t xml:space="preserve"> ou un temps plein, à condition d’organiser le travail de façon à regrouper les horaires sur des journées ou demi-journées régulières ou complètes;</w:t>
      </w:r>
      <w:r w:rsidRPr="00F0728A">
        <w:rPr>
          <w:rFonts w:ascii="Times New Roman" w:hAnsi="Times New Roman"/>
          <w:sz w:val="24"/>
          <w:szCs w:val="24"/>
        </w:rPr>
        <w:t xml:space="preserve"> </w:t>
      </w:r>
    </w:p>
    <w:p w:rsidR="006A416F" w:rsidRPr="00F0728A" w:rsidRDefault="006A416F">
      <w:pPr>
        <w:pStyle w:val="ListParagraph"/>
        <w:numPr>
          <w:ilvl w:val="0"/>
          <w:numId w:val="16"/>
        </w:numPr>
        <w:spacing w:after="0"/>
        <w:jc w:val="both"/>
        <w:rPr>
          <w:rFonts w:ascii="Times New Roman" w:hAnsi="Times New Roman"/>
          <w:sz w:val="24"/>
          <w:szCs w:val="24"/>
        </w:rPr>
      </w:pPr>
      <w:r w:rsidRPr="00F0728A">
        <w:rPr>
          <w:rFonts w:ascii="Times New Roman" w:hAnsi="Times New Roman"/>
          <w:sz w:val="24"/>
          <w:szCs w:val="24"/>
        </w:rPr>
        <w:t xml:space="preserve">le nombre et la durée des périodes d’interruption d’activité au cours d’une même journée, la répartition de la durée du travail dans la semaine visant à permettre au salarié de compléter son temps de travail chez un autre employeur ; </w:t>
      </w:r>
    </w:p>
    <w:p w:rsidR="006A416F" w:rsidRPr="00F0728A" w:rsidRDefault="006A416F">
      <w:pPr>
        <w:pStyle w:val="ListParagraph"/>
        <w:numPr>
          <w:ilvl w:val="0"/>
          <w:numId w:val="16"/>
        </w:numPr>
        <w:spacing w:after="0"/>
        <w:jc w:val="both"/>
        <w:rPr>
          <w:rFonts w:ascii="Times New Roman" w:hAnsi="Times New Roman"/>
          <w:sz w:val="24"/>
          <w:szCs w:val="24"/>
        </w:rPr>
      </w:pPr>
      <w:r w:rsidRPr="00F0728A">
        <w:rPr>
          <w:rFonts w:ascii="Times New Roman" w:hAnsi="Times New Roman"/>
          <w:sz w:val="24"/>
          <w:szCs w:val="24"/>
        </w:rPr>
        <w:t>le délai de prévenance préalable à la modification des horaires ;</w:t>
      </w:r>
    </w:p>
    <w:p w:rsidR="006A416F" w:rsidRPr="00F0728A" w:rsidRDefault="006A416F">
      <w:pPr>
        <w:pStyle w:val="ListParagraph"/>
        <w:numPr>
          <w:ilvl w:val="0"/>
          <w:numId w:val="16"/>
        </w:numPr>
        <w:spacing w:after="0"/>
        <w:jc w:val="both"/>
        <w:rPr>
          <w:rFonts w:ascii="Times New Roman" w:hAnsi="Times New Roman"/>
          <w:sz w:val="24"/>
          <w:szCs w:val="24"/>
        </w:rPr>
      </w:pPr>
      <w:r w:rsidRPr="00F0728A">
        <w:rPr>
          <w:rFonts w:ascii="Times New Roman" w:hAnsi="Times New Roman"/>
          <w:sz w:val="24"/>
          <w:szCs w:val="24"/>
        </w:rPr>
        <w:t>la rémunération des heures complémentaires. Celles-ci sont majorées d’au minimum 10% dès la première heure et dans la limite du quota d’heures complémentaires fixé par l</w:t>
      </w:r>
      <w:r>
        <w:rPr>
          <w:rFonts w:ascii="Times New Roman" w:hAnsi="Times New Roman"/>
          <w:sz w:val="24"/>
          <w:szCs w:val="24"/>
        </w:rPr>
        <w:t xml:space="preserve">es </w:t>
      </w:r>
      <w:r w:rsidRPr="00F0728A">
        <w:rPr>
          <w:rFonts w:ascii="Times New Roman" w:hAnsi="Times New Roman"/>
          <w:sz w:val="24"/>
          <w:szCs w:val="24"/>
        </w:rPr>
        <w:t>article</w:t>
      </w:r>
      <w:r>
        <w:rPr>
          <w:rFonts w:ascii="Times New Roman" w:hAnsi="Times New Roman"/>
          <w:sz w:val="24"/>
          <w:szCs w:val="24"/>
        </w:rPr>
        <w:t>s L.3123-17 et</w:t>
      </w:r>
      <w:r w:rsidRPr="00F0728A">
        <w:rPr>
          <w:rFonts w:ascii="Times New Roman" w:hAnsi="Times New Roman"/>
          <w:sz w:val="24"/>
          <w:szCs w:val="24"/>
        </w:rPr>
        <w:t xml:space="preserve"> L. 3123-18 du code du travail. </w:t>
      </w:r>
    </w:p>
    <w:p w:rsidR="006A416F" w:rsidRPr="00F0728A" w:rsidRDefault="006A416F">
      <w:pPr>
        <w:spacing w:after="0"/>
        <w:ind w:left="36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2/</w:t>
      </w:r>
      <w:r w:rsidRPr="00F0728A">
        <w:rPr>
          <w:rFonts w:ascii="Times New Roman" w:hAnsi="Times New Roman"/>
          <w:sz w:val="24"/>
          <w:szCs w:val="24"/>
        </w:rPr>
        <w:t xml:space="preserve"> </w:t>
      </w:r>
      <w:r w:rsidRPr="00651F24">
        <w:rPr>
          <w:rFonts w:ascii="Times New Roman" w:hAnsi="Times New Roman"/>
          <w:sz w:val="24"/>
          <w:szCs w:val="24"/>
        </w:rPr>
        <w:t>Sans préjudice des accords de branche et d’entreprises mentionnés à l’accord L. 3122-2 du code du travail</w:t>
      </w:r>
      <w:r>
        <w:rPr>
          <w:rFonts w:ascii="Times New Roman" w:hAnsi="Times New Roman"/>
          <w:sz w:val="24"/>
          <w:szCs w:val="24"/>
        </w:rPr>
        <w:t xml:space="preserve"> concernant le temps partiel,</w:t>
      </w:r>
      <w:r w:rsidRPr="00651F24">
        <w:rPr>
          <w:rFonts w:ascii="Times New Roman" w:hAnsi="Times New Roman"/>
          <w:sz w:val="24"/>
          <w:szCs w:val="24"/>
        </w:rPr>
        <w:t xml:space="preserve"> qui ne pourront toutefois pas déroger au nombre minimum d’heures prévu au présent 2,</w:t>
      </w:r>
      <w:r>
        <w:rPr>
          <w:rFonts w:ascii="Times New Roman" w:hAnsi="Times New Roman"/>
          <w:sz w:val="24"/>
          <w:szCs w:val="24"/>
        </w:rPr>
        <w:t xml:space="preserve"> et</w:t>
      </w:r>
      <w:r w:rsidRPr="00651F24">
        <w:rPr>
          <w:rFonts w:ascii="Times New Roman" w:hAnsi="Times New Roman"/>
          <w:sz w:val="24"/>
          <w:szCs w:val="24"/>
        </w:rPr>
        <w:t xml:space="preserve"> en tout état de cause</w:t>
      </w:r>
      <w:r>
        <w:rPr>
          <w:rFonts w:ascii="Times New Roman" w:hAnsi="Times New Roman"/>
          <w:sz w:val="24"/>
          <w:szCs w:val="24"/>
        </w:rPr>
        <w:t xml:space="preserve"> et i</w:t>
      </w:r>
      <w:r w:rsidRPr="00651F24">
        <w:rPr>
          <w:rFonts w:ascii="Times New Roman" w:hAnsi="Times New Roman"/>
          <w:sz w:val="24"/>
          <w:szCs w:val="24"/>
        </w:rPr>
        <w:t>ndépendamment</w:t>
      </w:r>
      <w:r w:rsidRPr="00F0728A">
        <w:rPr>
          <w:rFonts w:ascii="Times New Roman" w:hAnsi="Times New Roman"/>
          <w:sz w:val="24"/>
          <w:szCs w:val="24"/>
        </w:rPr>
        <w:t xml:space="preserve"> des négociations prévues au point 1/, </w:t>
      </w:r>
      <w:r>
        <w:rPr>
          <w:rFonts w:ascii="Times New Roman" w:hAnsi="Times New Roman"/>
          <w:sz w:val="24"/>
          <w:szCs w:val="24"/>
        </w:rPr>
        <w:t xml:space="preserve">au plus tard le 31 décembre 2013, </w:t>
      </w:r>
      <w:r w:rsidRPr="00F0728A">
        <w:rPr>
          <w:rFonts w:ascii="Times New Roman" w:hAnsi="Times New Roman"/>
          <w:sz w:val="24"/>
          <w:szCs w:val="24"/>
        </w:rPr>
        <w:t xml:space="preserve">, les dispositions ci-après s’appliqueront aux salariés </w:t>
      </w:r>
      <w:r>
        <w:rPr>
          <w:rFonts w:ascii="Times New Roman" w:hAnsi="Times New Roman"/>
          <w:sz w:val="24"/>
          <w:szCs w:val="24"/>
        </w:rPr>
        <w:t>qui sont employés</w:t>
      </w:r>
      <w:r w:rsidRPr="00F0728A">
        <w:rPr>
          <w:rFonts w:ascii="Times New Roman" w:hAnsi="Times New Roman"/>
          <w:sz w:val="24"/>
          <w:szCs w:val="24"/>
        </w:rPr>
        <w:t xml:space="preserve"> à temps partiel dans les entreprises, quel que soit leur secteur d’activité, non couvertes par des clauses conventionnelles portant sur les</w:t>
      </w:r>
      <w:r>
        <w:rPr>
          <w:rFonts w:ascii="Times New Roman" w:hAnsi="Times New Roman"/>
          <w:sz w:val="24"/>
          <w:szCs w:val="24"/>
        </w:rPr>
        <w:t xml:space="preserve"> </w:t>
      </w:r>
      <w:r w:rsidRPr="00F0728A">
        <w:rPr>
          <w:rFonts w:ascii="Times New Roman" w:hAnsi="Times New Roman"/>
          <w:sz w:val="24"/>
          <w:szCs w:val="24"/>
        </w:rPr>
        <w:t>dispositions</w:t>
      </w:r>
      <w:r>
        <w:rPr>
          <w:rFonts w:ascii="Times New Roman" w:hAnsi="Times New Roman"/>
          <w:sz w:val="24"/>
          <w:szCs w:val="24"/>
        </w:rPr>
        <w:t xml:space="preserve"> du 1/ ci-dessus</w:t>
      </w:r>
      <w:r w:rsidRPr="00F0728A">
        <w:rPr>
          <w:rFonts w:ascii="Times New Roman" w:hAnsi="Times New Roman"/>
          <w:sz w:val="24"/>
          <w:szCs w:val="24"/>
        </w:rPr>
        <w:t xml:space="preserve"> : </w:t>
      </w:r>
    </w:p>
    <w:p w:rsidR="006A416F" w:rsidRPr="00F0728A" w:rsidRDefault="006A416F">
      <w:pPr>
        <w:spacing w:after="0"/>
        <w:jc w:val="both"/>
        <w:rPr>
          <w:rFonts w:ascii="Times New Roman" w:hAnsi="Times New Roman"/>
          <w:sz w:val="24"/>
          <w:szCs w:val="24"/>
        </w:rPr>
      </w:pPr>
    </w:p>
    <w:p w:rsidR="006A416F" w:rsidRPr="00DE4F83" w:rsidRDefault="006A416F">
      <w:pPr>
        <w:pStyle w:val="ListParagraph"/>
        <w:numPr>
          <w:ilvl w:val="0"/>
          <w:numId w:val="35"/>
        </w:numPr>
        <w:spacing w:after="0"/>
        <w:contextualSpacing w:val="0"/>
        <w:jc w:val="both"/>
        <w:rPr>
          <w:rFonts w:ascii="Times New Roman" w:hAnsi="Times New Roman"/>
          <w:sz w:val="24"/>
          <w:szCs w:val="24"/>
        </w:rPr>
      </w:pPr>
      <w:r w:rsidRPr="00F0728A">
        <w:rPr>
          <w:rFonts w:ascii="Times New Roman" w:hAnsi="Times New Roman"/>
          <w:sz w:val="24"/>
          <w:szCs w:val="24"/>
        </w:rPr>
        <w:t>la durée minimale d’activité est fixée à 24h par semaine</w:t>
      </w:r>
      <w:r>
        <w:rPr>
          <w:rFonts w:ascii="Times New Roman" w:hAnsi="Times New Roman"/>
          <w:sz w:val="24"/>
          <w:szCs w:val="24"/>
        </w:rPr>
        <w:t>,</w:t>
      </w:r>
      <w:r w:rsidRPr="00F0728A">
        <w:rPr>
          <w:rFonts w:ascii="Times New Roman" w:hAnsi="Times New Roman"/>
          <w:sz w:val="24"/>
          <w:szCs w:val="24"/>
        </w:rPr>
        <w:t xml:space="preserve"> (à l’exception du cas des salariés des particuliers employeurs ou des salariés âgés de moins de 26 ans et poursuivant leurs études). Une durée </w:t>
      </w:r>
      <w:r>
        <w:rPr>
          <w:rFonts w:ascii="Times New Roman" w:hAnsi="Times New Roman"/>
          <w:sz w:val="24"/>
          <w:szCs w:val="24"/>
        </w:rPr>
        <w:t xml:space="preserve">d’activité </w:t>
      </w:r>
      <w:r w:rsidRPr="00F0728A">
        <w:rPr>
          <w:rFonts w:ascii="Times New Roman" w:hAnsi="Times New Roman"/>
          <w:sz w:val="24"/>
          <w:szCs w:val="24"/>
        </w:rPr>
        <w:t>inférieure peut être prévue</w:t>
      </w:r>
      <w:r>
        <w:rPr>
          <w:rFonts w:ascii="Times New Roman" w:hAnsi="Times New Roman"/>
          <w:sz w:val="24"/>
          <w:szCs w:val="24"/>
        </w:rPr>
        <w:t>,</w:t>
      </w:r>
      <w:r w:rsidRPr="00F0728A">
        <w:rPr>
          <w:rFonts w:ascii="Times New Roman" w:hAnsi="Times New Roman"/>
          <w:sz w:val="24"/>
          <w:szCs w:val="24"/>
        </w:rPr>
        <w:t xml:space="preserve"> à la demande </w:t>
      </w:r>
      <w:r>
        <w:rPr>
          <w:rFonts w:ascii="Times New Roman" w:hAnsi="Times New Roman"/>
          <w:sz w:val="24"/>
          <w:szCs w:val="24"/>
        </w:rPr>
        <w:t xml:space="preserve">écrite et motivée du salarié, pour lui permettre </w:t>
      </w:r>
      <w:r w:rsidRPr="00C76BDF">
        <w:rPr>
          <w:rFonts w:ascii="Times New Roman" w:hAnsi="Times New Roman"/>
          <w:sz w:val="24"/>
          <w:szCs w:val="24"/>
        </w:rPr>
        <w:t xml:space="preserve">de cumuler plusieurs employeurs afin d’atteindre </w:t>
      </w:r>
      <w:r>
        <w:rPr>
          <w:rFonts w:ascii="Times New Roman" w:hAnsi="Times New Roman"/>
          <w:sz w:val="24"/>
          <w:szCs w:val="24"/>
        </w:rPr>
        <w:t xml:space="preserve">au minimum la durée prévue au présent 2/ ou </w:t>
      </w:r>
      <w:r w:rsidRPr="00C76BDF">
        <w:rPr>
          <w:rFonts w:ascii="Times New Roman" w:hAnsi="Times New Roman"/>
          <w:sz w:val="24"/>
          <w:szCs w:val="24"/>
        </w:rPr>
        <w:t xml:space="preserve">un temps plein, </w:t>
      </w:r>
      <w:r>
        <w:rPr>
          <w:rFonts w:ascii="Times New Roman" w:hAnsi="Times New Roman"/>
          <w:sz w:val="24"/>
          <w:szCs w:val="24"/>
        </w:rPr>
        <w:t xml:space="preserve">ou </w:t>
      </w:r>
      <w:r w:rsidRPr="00C76BDF">
        <w:rPr>
          <w:rFonts w:ascii="Times New Roman" w:hAnsi="Times New Roman"/>
          <w:sz w:val="24"/>
          <w:szCs w:val="24"/>
        </w:rPr>
        <w:t>pour faire face à des contraintes personnelles</w:t>
      </w:r>
      <w:r>
        <w:rPr>
          <w:rFonts w:ascii="Times New Roman" w:hAnsi="Times New Roman"/>
          <w:sz w:val="24"/>
          <w:szCs w:val="24"/>
        </w:rPr>
        <w:t xml:space="preserve"> et </w:t>
      </w:r>
      <w:r w:rsidRPr="00F0728A">
        <w:rPr>
          <w:rFonts w:ascii="Times New Roman" w:hAnsi="Times New Roman"/>
          <w:sz w:val="24"/>
          <w:szCs w:val="24"/>
        </w:rPr>
        <w:t>à condition d’organiser le travail de façon à regrouper les horaires sur des journées ou des demi-journées régulières ou complètes</w:t>
      </w:r>
      <w:r>
        <w:rPr>
          <w:rStyle w:val="FootnoteReference"/>
          <w:rFonts w:ascii="Times New Roman" w:hAnsi="Times New Roman"/>
          <w:sz w:val="24"/>
          <w:szCs w:val="24"/>
        </w:rPr>
        <w:footnoteReference w:id="6"/>
      </w:r>
      <w:r w:rsidRPr="00F0728A">
        <w:rPr>
          <w:rFonts w:ascii="Times New Roman" w:hAnsi="Times New Roman"/>
          <w:sz w:val="24"/>
          <w:szCs w:val="24"/>
        </w:rPr>
        <w:t xml:space="preserve"> ; </w:t>
      </w:r>
    </w:p>
    <w:p w:rsidR="006A416F" w:rsidRPr="00F0728A" w:rsidRDefault="006A416F" w:rsidP="0082365E">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l</w:t>
      </w:r>
      <w:r w:rsidRPr="00F0728A">
        <w:rPr>
          <w:rFonts w:ascii="Times New Roman" w:hAnsi="Times New Roman"/>
          <w:sz w:val="24"/>
          <w:szCs w:val="24"/>
        </w:rPr>
        <w:t>e</w:t>
      </w:r>
      <w:r w:rsidRPr="0082365E">
        <w:rPr>
          <w:rFonts w:ascii="Times New Roman" w:hAnsi="Times New Roman"/>
          <w:sz w:val="24"/>
          <w:szCs w:val="24"/>
        </w:rPr>
        <w:t xml:space="preserve">s </w:t>
      </w:r>
      <w:r w:rsidRPr="00F0728A">
        <w:rPr>
          <w:rFonts w:ascii="Times New Roman" w:hAnsi="Times New Roman"/>
          <w:sz w:val="24"/>
          <w:szCs w:val="24"/>
        </w:rPr>
        <w:t>heures de travail, effectuées au-delà de la durée hebdomadaire ou mensuelle du travail prévue au contrat, sont majorées de  10 % jusqu’à ce que leur nombre atteigne le 1/10</w:t>
      </w:r>
      <w:r w:rsidRPr="00F0728A">
        <w:rPr>
          <w:rFonts w:ascii="Times New Roman" w:hAnsi="Times New Roman"/>
          <w:sz w:val="24"/>
          <w:szCs w:val="24"/>
          <w:vertAlign w:val="superscript"/>
        </w:rPr>
        <w:t>ème</w:t>
      </w:r>
      <w:r w:rsidRPr="00F0728A">
        <w:rPr>
          <w:rFonts w:ascii="Times New Roman" w:hAnsi="Times New Roman"/>
          <w:sz w:val="24"/>
          <w:szCs w:val="24"/>
        </w:rPr>
        <w:t xml:space="preserve"> de cette durée hebdomadaire ou mensuelle. Au-delà, la majoration est portée à 25%, sans préjudice de</w:t>
      </w:r>
      <w:r>
        <w:rPr>
          <w:rFonts w:ascii="Times New Roman" w:hAnsi="Times New Roman"/>
          <w:sz w:val="24"/>
          <w:szCs w:val="24"/>
        </w:rPr>
        <w:t>s</w:t>
      </w:r>
      <w:r w:rsidRPr="00F0728A">
        <w:rPr>
          <w:rFonts w:ascii="Times New Roman" w:hAnsi="Times New Roman"/>
          <w:sz w:val="24"/>
          <w:szCs w:val="24"/>
        </w:rPr>
        <w:t xml:space="preserve"> article</w:t>
      </w:r>
      <w:r>
        <w:rPr>
          <w:rFonts w:ascii="Times New Roman" w:hAnsi="Times New Roman"/>
          <w:sz w:val="24"/>
          <w:szCs w:val="24"/>
        </w:rPr>
        <w:t>s</w:t>
      </w:r>
      <w:r w:rsidRPr="00F0728A">
        <w:rPr>
          <w:rFonts w:ascii="Times New Roman" w:hAnsi="Times New Roman"/>
          <w:sz w:val="24"/>
          <w:szCs w:val="24"/>
        </w:rPr>
        <w:t xml:space="preserve"> L.3123-1</w:t>
      </w:r>
      <w:r>
        <w:rPr>
          <w:rFonts w:ascii="Times New Roman" w:hAnsi="Times New Roman"/>
          <w:sz w:val="24"/>
          <w:szCs w:val="24"/>
        </w:rPr>
        <w:t>7 et L.3123-1</w:t>
      </w:r>
      <w:r w:rsidRPr="00F0728A">
        <w:rPr>
          <w:rFonts w:ascii="Times New Roman" w:hAnsi="Times New Roman"/>
          <w:sz w:val="24"/>
          <w:szCs w:val="24"/>
        </w:rPr>
        <w:t>8 du code du travail</w:t>
      </w:r>
      <w:r>
        <w:rPr>
          <w:rFonts w:ascii="Times New Roman" w:hAnsi="Times New Roman"/>
          <w:sz w:val="24"/>
          <w:szCs w:val="24"/>
        </w:rPr>
        <w:t>.</w:t>
      </w:r>
      <w:r w:rsidRPr="00F0728A">
        <w:rPr>
          <w:rFonts w:ascii="Times New Roman" w:hAnsi="Times New Roman"/>
          <w:sz w:val="24"/>
          <w:szCs w:val="24"/>
        </w:rPr>
        <w:t> </w:t>
      </w:r>
    </w:p>
    <w:p w:rsidR="006A416F" w:rsidRPr="00F0728A" w:rsidRDefault="006A416F">
      <w:pPr>
        <w:spacing w:after="0"/>
        <w:ind w:left="36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3/</w:t>
      </w:r>
      <w:r w:rsidRPr="00F0728A">
        <w:rPr>
          <w:rFonts w:ascii="Times New Roman" w:hAnsi="Times New Roman"/>
          <w:sz w:val="24"/>
          <w:szCs w:val="24"/>
          <w:vertAlign w:val="superscript"/>
        </w:rPr>
        <w:t xml:space="preserve"> </w:t>
      </w:r>
      <w:r>
        <w:rPr>
          <w:rFonts w:ascii="Times New Roman" w:hAnsi="Times New Roman"/>
          <w:sz w:val="24"/>
          <w:szCs w:val="24"/>
        </w:rPr>
        <w:t>Un accord de branche étendu peut permettre, lorsque le salarié et l’employeur en conviennent</w:t>
      </w:r>
      <w:r w:rsidRPr="003C313E">
        <w:rPr>
          <w:rFonts w:ascii="Times New Roman" w:hAnsi="Times New Roman"/>
          <w:sz w:val="24"/>
          <w:szCs w:val="24"/>
        </w:rPr>
        <w:t xml:space="preserve"> </w:t>
      </w:r>
      <w:r>
        <w:rPr>
          <w:rFonts w:ascii="Times New Roman" w:hAnsi="Times New Roman"/>
          <w:sz w:val="24"/>
          <w:szCs w:val="24"/>
        </w:rPr>
        <w:t>d’</w:t>
      </w:r>
      <w:r w:rsidRPr="00F0728A">
        <w:rPr>
          <w:rFonts w:ascii="Times New Roman" w:hAnsi="Times New Roman"/>
          <w:sz w:val="24"/>
          <w:szCs w:val="24"/>
        </w:rPr>
        <w:t xml:space="preserve">augmenter temporairement </w:t>
      </w:r>
      <w:r>
        <w:rPr>
          <w:rFonts w:ascii="Times New Roman" w:hAnsi="Times New Roman"/>
          <w:sz w:val="24"/>
          <w:szCs w:val="24"/>
        </w:rPr>
        <w:t>la</w:t>
      </w:r>
      <w:r w:rsidRPr="00F0728A">
        <w:rPr>
          <w:rFonts w:ascii="Times New Roman" w:hAnsi="Times New Roman"/>
          <w:sz w:val="24"/>
          <w:szCs w:val="24"/>
        </w:rPr>
        <w:t xml:space="preserve"> durée</w:t>
      </w:r>
      <w:r>
        <w:rPr>
          <w:rFonts w:ascii="Times New Roman" w:hAnsi="Times New Roman"/>
          <w:sz w:val="24"/>
          <w:szCs w:val="24"/>
        </w:rPr>
        <w:t xml:space="preserve"> du travail</w:t>
      </w:r>
      <w:r w:rsidRPr="00F0728A">
        <w:rPr>
          <w:rFonts w:ascii="Times New Roman" w:hAnsi="Times New Roman"/>
          <w:sz w:val="24"/>
          <w:szCs w:val="24"/>
        </w:rPr>
        <w:t xml:space="preserve"> au moyen d’un avenant au contrat de travail intitulé « complément d’heures</w:t>
      </w:r>
      <w:r>
        <w:rPr>
          <w:rFonts w:ascii="Times New Roman" w:hAnsi="Times New Roman"/>
          <w:sz w:val="24"/>
          <w:szCs w:val="24"/>
        </w:rPr>
        <w:t xml:space="preserve">». </w:t>
      </w:r>
      <w:r w:rsidRPr="00F0728A">
        <w:rPr>
          <w:rFonts w:ascii="Times New Roman" w:hAnsi="Times New Roman"/>
          <w:sz w:val="24"/>
          <w:szCs w:val="24"/>
        </w:rPr>
        <w:t xml:space="preserve"> </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Un accord de branche étendu détermine :</w:t>
      </w:r>
    </w:p>
    <w:p w:rsidR="006A416F" w:rsidRPr="00F0728A" w:rsidRDefault="006A416F">
      <w:pPr>
        <w:spacing w:after="0"/>
        <w:jc w:val="both"/>
        <w:rPr>
          <w:rFonts w:ascii="Times New Roman" w:hAnsi="Times New Roman"/>
          <w:sz w:val="24"/>
          <w:szCs w:val="24"/>
        </w:rPr>
      </w:pPr>
    </w:p>
    <w:p w:rsidR="006A416F" w:rsidRPr="00DE4F83" w:rsidRDefault="006A416F">
      <w:pPr>
        <w:pStyle w:val="ListParagraph"/>
        <w:numPr>
          <w:ilvl w:val="0"/>
          <w:numId w:val="35"/>
        </w:numPr>
        <w:spacing w:after="0"/>
        <w:contextualSpacing w:val="0"/>
        <w:jc w:val="both"/>
        <w:rPr>
          <w:rFonts w:ascii="Times New Roman" w:hAnsi="Times New Roman"/>
          <w:sz w:val="24"/>
          <w:szCs w:val="24"/>
        </w:rPr>
      </w:pPr>
      <w:r w:rsidRPr="00DE4F83">
        <w:rPr>
          <w:rFonts w:ascii="Times New Roman" w:hAnsi="Times New Roman"/>
          <w:sz w:val="24"/>
          <w:szCs w:val="24"/>
        </w:rPr>
        <w:t xml:space="preserve">le taux de majoration éventuelle des heures incluses dans le </w:t>
      </w:r>
      <w:r>
        <w:rPr>
          <w:rFonts w:ascii="Times New Roman" w:hAnsi="Times New Roman"/>
          <w:sz w:val="24"/>
          <w:szCs w:val="24"/>
        </w:rPr>
        <w:t>« </w:t>
      </w:r>
      <w:r w:rsidRPr="00DE4F83">
        <w:rPr>
          <w:rFonts w:ascii="Times New Roman" w:hAnsi="Times New Roman"/>
          <w:sz w:val="24"/>
          <w:szCs w:val="24"/>
        </w:rPr>
        <w:t>complément d’heures</w:t>
      </w:r>
      <w:r>
        <w:rPr>
          <w:rFonts w:ascii="Times New Roman" w:hAnsi="Times New Roman"/>
          <w:sz w:val="24"/>
          <w:szCs w:val="24"/>
        </w:rPr>
        <w:t> »</w:t>
      </w:r>
      <w:r w:rsidRPr="00DE4F83">
        <w:rPr>
          <w:rFonts w:ascii="Times New Roman" w:hAnsi="Times New Roman"/>
          <w:sz w:val="24"/>
          <w:szCs w:val="24"/>
        </w:rPr>
        <w:t xml:space="preserve">; </w:t>
      </w:r>
    </w:p>
    <w:p w:rsidR="006A416F" w:rsidRPr="00DE4F83" w:rsidRDefault="006A416F">
      <w:pPr>
        <w:pStyle w:val="ListParagraph"/>
        <w:numPr>
          <w:ilvl w:val="0"/>
          <w:numId w:val="35"/>
        </w:numPr>
        <w:spacing w:after="0"/>
        <w:contextualSpacing w:val="0"/>
        <w:jc w:val="both"/>
        <w:rPr>
          <w:rFonts w:ascii="Times New Roman" w:hAnsi="Times New Roman"/>
          <w:sz w:val="24"/>
          <w:szCs w:val="24"/>
        </w:rPr>
      </w:pPr>
      <w:r w:rsidRPr="00F0728A">
        <w:rPr>
          <w:rFonts w:ascii="Times New Roman" w:hAnsi="Times New Roman"/>
          <w:sz w:val="24"/>
          <w:szCs w:val="24"/>
        </w:rPr>
        <w:t xml:space="preserve">les conditions dans lesquelles seules les heures effectuées au-delà de la durée de travail définie par le « complément d’heures» ont le caractère d’heures complémentaires ; </w:t>
      </w:r>
    </w:p>
    <w:p w:rsidR="006A416F" w:rsidRPr="00DE4F83" w:rsidRDefault="006A416F">
      <w:pPr>
        <w:pStyle w:val="ListParagraph"/>
        <w:numPr>
          <w:ilvl w:val="0"/>
          <w:numId w:val="35"/>
        </w:numPr>
        <w:spacing w:after="0"/>
        <w:contextualSpacing w:val="0"/>
        <w:jc w:val="both"/>
        <w:rPr>
          <w:rFonts w:ascii="Times New Roman" w:hAnsi="Times New Roman"/>
          <w:sz w:val="24"/>
          <w:szCs w:val="24"/>
        </w:rPr>
      </w:pPr>
      <w:r w:rsidRPr="00F0728A">
        <w:rPr>
          <w:rFonts w:ascii="Times New Roman" w:hAnsi="Times New Roman"/>
          <w:sz w:val="24"/>
          <w:szCs w:val="24"/>
        </w:rPr>
        <w:t xml:space="preserve">le taux de majoration des heures complémentaires, qui ne peut être inférieur à 25% dès la première heure ; </w:t>
      </w:r>
    </w:p>
    <w:p w:rsidR="006A416F" w:rsidRPr="00DE4F83" w:rsidRDefault="006A416F">
      <w:pPr>
        <w:pStyle w:val="ListParagraph"/>
        <w:numPr>
          <w:ilvl w:val="0"/>
          <w:numId w:val="35"/>
        </w:numPr>
        <w:spacing w:after="0"/>
        <w:contextualSpacing w:val="0"/>
        <w:jc w:val="both"/>
        <w:rPr>
          <w:rFonts w:ascii="Times New Roman" w:hAnsi="Times New Roman"/>
          <w:sz w:val="24"/>
          <w:szCs w:val="24"/>
        </w:rPr>
      </w:pPr>
      <w:r w:rsidRPr="00F0728A">
        <w:rPr>
          <w:rFonts w:ascii="Times New Roman" w:hAnsi="Times New Roman"/>
          <w:sz w:val="24"/>
          <w:szCs w:val="24"/>
        </w:rPr>
        <w:t xml:space="preserve">le nombre maximum de </w:t>
      </w:r>
      <w:r>
        <w:rPr>
          <w:rFonts w:ascii="Times New Roman" w:hAnsi="Times New Roman"/>
          <w:sz w:val="24"/>
          <w:szCs w:val="24"/>
        </w:rPr>
        <w:t>« </w:t>
      </w:r>
      <w:r w:rsidRPr="00F0728A">
        <w:rPr>
          <w:rFonts w:ascii="Times New Roman" w:hAnsi="Times New Roman"/>
          <w:sz w:val="24"/>
          <w:szCs w:val="24"/>
        </w:rPr>
        <w:t>compléments d’heures</w:t>
      </w:r>
      <w:r>
        <w:rPr>
          <w:rFonts w:ascii="Times New Roman" w:hAnsi="Times New Roman"/>
          <w:sz w:val="24"/>
          <w:szCs w:val="24"/>
        </w:rPr>
        <w:t> »</w:t>
      </w:r>
      <w:r w:rsidRPr="00F0728A">
        <w:rPr>
          <w:rFonts w:ascii="Times New Roman" w:hAnsi="Times New Roman"/>
          <w:sz w:val="24"/>
          <w:szCs w:val="24"/>
        </w:rPr>
        <w:t xml:space="preserve"> par an par salarié, qui ne peut en aucun cas être supérieur à </w:t>
      </w:r>
      <w:r>
        <w:rPr>
          <w:rFonts w:ascii="Times New Roman" w:hAnsi="Times New Roman"/>
          <w:sz w:val="24"/>
          <w:szCs w:val="24"/>
        </w:rPr>
        <w:t>huit</w:t>
      </w:r>
      <w:r w:rsidRPr="00F0728A">
        <w:rPr>
          <w:rFonts w:ascii="Times New Roman" w:hAnsi="Times New Roman"/>
          <w:sz w:val="24"/>
          <w:szCs w:val="24"/>
        </w:rPr>
        <w:t>, hors cas de remplacement d’un salarié absent</w:t>
      </w:r>
      <w:r>
        <w:rPr>
          <w:rFonts w:ascii="Times New Roman" w:hAnsi="Times New Roman"/>
          <w:sz w:val="24"/>
          <w:szCs w:val="24"/>
        </w:rPr>
        <w:t xml:space="preserve"> nommément désigné</w:t>
      </w:r>
      <w:r w:rsidRPr="00F0728A">
        <w:rPr>
          <w:rFonts w:ascii="Times New Roman" w:hAnsi="Times New Roman"/>
          <w:sz w:val="24"/>
          <w:szCs w:val="24"/>
        </w:rPr>
        <w:t xml:space="preserve"> ; </w:t>
      </w:r>
    </w:p>
    <w:p w:rsidR="006A416F" w:rsidRDefault="006A416F" w:rsidP="0060005A">
      <w:pPr>
        <w:pStyle w:val="ListParagraph"/>
        <w:numPr>
          <w:ilvl w:val="0"/>
          <w:numId w:val="35"/>
        </w:numPr>
        <w:spacing w:after="0"/>
        <w:contextualSpacing w:val="0"/>
        <w:jc w:val="both"/>
        <w:rPr>
          <w:rFonts w:ascii="Times New Roman" w:hAnsi="Times New Roman"/>
          <w:sz w:val="24"/>
          <w:szCs w:val="24"/>
        </w:rPr>
      </w:pPr>
      <w:r w:rsidRPr="00F0728A">
        <w:rPr>
          <w:rFonts w:ascii="Times New Roman" w:hAnsi="Times New Roman"/>
          <w:sz w:val="24"/>
          <w:szCs w:val="24"/>
        </w:rPr>
        <w:t xml:space="preserve">les modalités selon lesquelles les salariés à temps partiel peuvent bénéficier prioritairement des </w:t>
      </w:r>
      <w:r>
        <w:rPr>
          <w:rFonts w:ascii="Times New Roman" w:hAnsi="Times New Roman"/>
          <w:sz w:val="24"/>
          <w:szCs w:val="24"/>
        </w:rPr>
        <w:t>« </w:t>
      </w:r>
      <w:r w:rsidRPr="00F0728A">
        <w:rPr>
          <w:rFonts w:ascii="Times New Roman" w:hAnsi="Times New Roman"/>
          <w:sz w:val="24"/>
          <w:szCs w:val="24"/>
        </w:rPr>
        <w:t>compléments d’heures</w:t>
      </w:r>
      <w:r>
        <w:rPr>
          <w:rFonts w:ascii="Times New Roman" w:hAnsi="Times New Roman"/>
          <w:sz w:val="24"/>
          <w:szCs w:val="24"/>
        </w:rPr>
        <w:t> »</w:t>
      </w:r>
      <w:r w:rsidRPr="00F0728A">
        <w:rPr>
          <w:rFonts w:ascii="Times New Roman" w:hAnsi="Times New Roman"/>
          <w:sz w:val="24"/>
          <w:szCs w:val="24"/>
        </w:rPr>
        <w:t>.</w:t>
      </w:r>
    </w:p>
    <w:p w:rsidR="006A416F" w:rsidRDefault="006A416F" w:rsidP="0060005A">
      <w:pPr>
        <w:spacing w:after="0"/>
        <w:ind w:left="360"/>
        <w:jc w:val="both"/>
        <w:rPr>
          <w:rFonts w:ascii="Times New Roman" w:hAnsi="Times New Roman"/>
          <w:sz w:val="24"/>
          <w:szCs w:val="24"/>
        </w:rPr>
      </w:pPr>
    </w:p>
    <w:p w:rsidR="006A416F" w:rsidRPr="0060005A" w:rsidRDefault="006A416F" w:rsidP="0060005A">
      <w:pPr>
        <w:spacing w:after="0"/>
        <w:ind w:left="360"/>
        <w:jc w:val="both"/>
        <w:rPr>
          <w:rFonts w:ascii="Times New Roman" w:hAnsi="Times New Roman"/>
          <w:sz w:val="24"/>
          <w:szCs w:val="24"/>
        </w:rPr>
      </w:pPr>
      <w:r w:rsidRPr="0060005A">
        <w:rPr>
          <w:rFonts w:ascii="Times New Roman" w:hAnsi="Times New Roman"/>
          <w:sz w:val="24"/>
          <w:szCs w:val="24"/>
        </w:rPr>
        <w:t>De</w:t>
      </w:r>
      <w:r>
        <w:rPr>
          <w:rFonts w:ascii="Times New Roman" w:hAnsi="Times New Roman"/>
          <w:sz w:val="24"/>
          <w:szCs w:val="24"/>
        </w:rPr>
        <w:t xml:space="preserve"> </w:t>
      </w:r>
      <w:r w:rsidRPr="0060005A">
        <w:rPr>
          <w:rFonts w:ascii="Times New Roman" w:hAnsi="Times New Roman"/>
          <w:sz w:val="24"/>
          <w:szCs w:val="24"/>
        </w:rPr>
        <w:t>plus, ces accords pourront également prévoir :</w:t>
      </w:r>
    </w:p>
    <w:p w:rsidR="006A416F" w:rsidRDefault="006A416F" w:rsidP="00890432">
      <w:pPr>
        <w:pStyle w:val="ListParagraph"/>
        <w:numPr>
          <w:ilvl w:val="0"/>
          <w:numId w:val="35"/>
        </w:numPr>
        <w:spacing w:after="0"/>
        <w:contextualSpacing w:val="0"/>
        <w:jc w:val="both"/>
        <w:rPr>
          <w:rFonts w:ascii="Times New Roman" w:hAnsi="Times New Roman"/>
          <w:sz w:val="24"/>
          <w:szCs w:val="24"/>
        </w:rPr>
      </w:pPr>
      <w:r>
        <w:rPr>
          <w:rFonts w:ascii="Times New Roman" w:hAnsi="Times New Roman"/>
          <w:sz w:val="24"/>
          <w:szCs w:val="24"/>
        </w:rPr>
        <w:t xml:space="preserve"> la mise en place d’une procédure de demande de passage à plein temps d’un salarié à temps partiel,</w:t>
      </w:r>
    </w:p>
    <w:p w:rsidR="006A416F" w:rsidRPr="0060005A" w:rsidRDefault="006A416F" w:rsidP="00890432">
      <w:pPr>
        <w:pStyle w:val="ListParagraph"/>
        <w:numPr>
          <w:ilvl w:val="0"/>
          <w:numId w:val="35"/>
        </w:numPr>
        <w:spacing w:after="0"/>
        <w:contextualSpacing w:val="0"/>
        <w:jc w:val="both"/>
        <w:rPr>
          <w:rFonts w:ascii="Times New Roman" w:hAnsi="Times New Roman"/>
          <w:sz w:val="24"/>
          <w:szCs w:val="24"/>
        </w:rPr>
      </w:pPr>
      <w:r>
        <w:rPr>
          <w:rFonts w:ascii="Times New Roman" w:hAnsi="Times New Roman"/>
          <w:sz w:val="24"/>
          <w:szCs w:val="24"/>
        </w:rPr>
        <w:t>la possibilité pour l’employeur de proposer des emplois à temps complet de nature différente.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DE4F83" w:rsidRDefault="006A416F">
      <w:pPr>
        <w:spacing w:after="0"/>
        <w:jc w:val="both"/>
        <w:rPr>
          <w:rFonts w:ascii="Times New Roman" w:hAnsi="Times New Roman"/>
          <w:b/>
          <w:caps/>
          <w:sz w:val="24"/>
          <w:szCs w:val="24"/>
          <w:u w:val="single"/>
        </w:rPr>
      </w:pPr>
      <w:r w:rsidRPr="00DE4F83">
        <w:rPr>
          <w:rFonts w:ascii="Times New Roman" w:hAnsi="Times New Roman"/>
          <w:b/>
          <w:caps/>
          <w:sz w:val="24"/>
          <w:szCs w:val="24"/>
          <w:u w:val="single"/>
        </w:rPr>
        <w:t>Titre II – Renforcer l’information des salariés sur les perspectives et les choix stratégiques de l’entreprise pour renforcer la gestion prévisionnelle des emplois et des compétences</w:t>
      </w:r>
    </w:p>
    <w:p w:rsidR="006A416F" w:rsidRPr="00DE4F83" w:rsidRDefault="006A416F">
      <w:pPr>
        <w:spacing w:after="0"/>
        <w:jc w:val="both"/>
        <w:rPr>
          <w:rFonts w:ascii="Times New Roman" w:hAnsi="Times New Roman"/>
          <w:b/>
          <w:caps/>
          <w:sz w:val="24"/>
          <w:szCs w:val="24"/>
          <w:u w:val="single"/>
        </w:rPr>
      </w:pPr>
    </w:p>
    <w:p w:rsidR="006A416F" w:rsidRPr="00F0728A" w:rsidRDefault="006A416F">
      <w:pPr>
        <w:spacing w:after="0"/>
        <w:ind w:left="144" w:right="144"/>
        <w:jc w:val="both"/>
        <w:rPr>
          <w:rFonts w:ascii="Times New Roman" w:hAnsi="Times New Roman"/>
          <w:sz w:val="24"/>
          <w:szCs w:val="24"/>
        </w:rPr>
      </w:pPr>
      <w:r w:rsidRPr="00F0728A">
        <w:rPr>
          <w:rFonts w:ascii="Times New Roman" w:hAnsi="Times New Roman"/>
          <w:spacing w:val="-3"/>
          <w:sz w:val="24"/>
          <w:szCs w:val="24"/>
        </w:rPr>
        <w:t xml:space="preserve">Comprendre la stratégie de l’entreprise, les leviers et contraintes qui la déterminent, </w:t>
      </w:r>
      <w:r w:rsidRPr="00F0728A">
        <w:rPr>
          <w:rFonts w:ascii="Times New Roman" w:hAnsi="Times New Roman"/>
          <w:spacing w:val="3"/>
          <w:sz w:val="24"/>
          <w:szCs w:val="24"/>
        </w:rPr>
        <w:t xml:space="preserve">constitue une étape nécessaire aux salariés pour se l’approprier. Savoir que les </w:t>
      </w:r>
      <w:r w:rsidRPr="00F0728A">
        <w:rPr>
          <w:rFonts w:ascii="Times New Roman" w:hAnsi="Times New Roman"/>
          <w:sz w:val="24"/>
          <w:szCs w:val="24"/>
        </w:rPr>
        <w:t xml:space="preserve">conséquences de cette stratégie pour leur emploi, leur carrière, leurs conditions de </w:t>
      </w:r>
      <w:r w:rsidRPr="00F0728A">
        <w:rPr>
          <w:rFonts w:ascii="Times New Roman" w:hAnsi="Times New Roman"/>
          <w:spacing w:val="5"/>
          <w:sz w:val="24"/>
          <w:szCs w:val="24"/>
        </w:rPr>
        <w:t xml:space="preserve">travail sont anticipées et que leur avenir est sécurisé est une condition de leur </w:t>
      </w:r>
      <w:r w:rsidRPr="00F0728A">
        <w:rPr>
          <w:rFonts w:ascii="Times New Roman" w:hAnsi="Times New Roman"/>
          <w:sz w:val="24"/>
          <w:szCs w:val="24"/>
        </w:rPr>
        <w:t>adhésion et de leur performance.</w:t>
      </w:r>
    </w:p>
    <w:p w:rsidR="006A416F" w:rsidRPr="00F0728A" w:rsidRDefault="006A416F">
      <w:pPr>
        <w:spacing w:after="0"/>
        <w:ind w:left="144" w:right="144"/>
        <w:jc w:val="both"/>
        <w:rPr>
          <w:rFonts w:ascii="Times New Roman" w:hAnsi="Times New Roman"/>
          <w:sz w:val="24"/>
          <w:szCs w:val="24"/>
        </w:rPr>
      </w:pPr>
      <w:r w:rsidRPr="00F0728A">
        <w:rPr>
          <w:rFonts w:ascii="Times New Roman" w:hAnsi="Times New Roman"/>
          <w:spacing w:val="5"/>
          <w:sz w:val="24"/>
          <w:szCs w:val="24"/>
        </w:rPr>
        <w:t xml:space="preserve">La représentation des intérêts des salariés, comme de ceux des autres parties </w:t>
      </w:r>
      <w:r w:rsidRPr="00F0728A">
        <w:rPr>
          <w:rFonts w:ascii="Times New Roman" w:hAnsi="Times New Roman"/>
          <w:spacing w:val="2"/>
          <w:sz w:val="24"/>
          <w:szCs w:val="24"/>
        </w:rPr>
        <w:t xml:space="preserve">prenantes, au moment où le projet se construit, est indispensable : la stratégie adoptée pourra ainsi n’occulter aucun des </w:t>
      </w:r>
      <w:r w:rsidRPr="00F0728A">
        <w:rPr>
          <w:rFonts w:ascii="Times New Roman" w:hAnsi="Times New Roman"/>
          <w:sz w:val="24"/>
          <w:szCs w:val="24"/>
        </w:rPr>
        <w:t>problèmes éventuels et prévoir à temps les solutions adaptées.</w:t>
      </w:r>
    </w:p>
    <w:p w:rsidR="006A416F" w:rsidRPr="00F0728A" w:rsidRDefault="006A416F">
      <w:pPr>
        <w:spacing w:after="0"/>
        <w:ind w:left="144" w:right="144"/>
        <w:jc w:val="both"/>
        <w:rPr>
          <w:rFonts w:ascii="Times New Roman" w:hAnsi="Times New Roman"/>
          <w:sz w:val="24"/>
          <w:szCs w:val="24"/>
        </w:rPr>
      </w:pPr>
    </w:p>
    <w:p w:rsidR="006A416F" w:rsidRPr="00F0728A" w:rsidRDefault="006A416F">
      <w:pPr>
        <w:spacing w:after="0"/>
        <w:ind w:left="144" w:right="144"/>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12</w:t>
      </w:r>
      <w:r w:rsidRPr="00F0728A">
        <w:rPr>
          <w:rFonts w:ascii="Times New Roman" w:hAnsi="Times New Roman"/>
          <w:b/>
          <w:sz w:val="24"/>
          <w:szCs w:val="24"/>
        </w:rPr>
        <w:t xml:space="preserve"> - Information et consultation anticipée des IRP </w:t>
      </w:r>
    </w:p>
    <w:p w:rsidR="006A416F" w:rsidRPr="00F0728A" w:rsidRDefault="006A416F">
      <w:pPr>
        <w:spacing w:after="0"/>
        <w:jc w:val="both"/>
        <w:rPr>
          <w:rFonts w:ascii="Times New Roman" w:hAnsi="Times New Roman"/>
          <w:b/>
          <w:sz w:val="24"/>
          <w:szCs w:val="24"/>
        </w:rPr>
      </w:pPr>
    </w:p>
    <w:p w:rsidR="006A416F" w:rsidRPr="00F0728A" w:rsidRDefault="006A416F">
      <w:pPr>
        <w:spacing w:after="0"/>
        <w:contextualSpacing/>
        <w:jc w:val="both"/>
        <w:rPr>
          <w:rFonts w:ascii="Times New Roman" w:hAnsi="Times New Roman"/>
          <w:spacing w:val="4"/>
          <w:sz w:val="24"/>
          <w:szCs w:val="24"/>
        </w:rPr>
      </w:pPr>
      <w:r w:rsidRPr="00F0728A">
        <w:rPr>
          <w:rFonts w:ascii="Times New Roman" w:hAnsi="Times New Roman"/>
          <w:b/>
          <w:sz w:val="24"/>
          <w:szCs w:val="24"/>
        </w:rPr>
        <w:t>1/</w:t>
      </w:r>
      <w:r w:rsidRPr="00F0728A">
        <w:rPr>
          <w:rFonts w:ascii="Times New Roman" w:hAnsi="Times New Roman"/>
          <w:sz w:val="24"/>
          <w:szCs w:val="24"/>
        </w:rPr>
        <w:t xml:space="preserve"> Sans attendre la fin des discussions paritaires en cours sur la modernisation du dialogue social, les parties signataires conviennent qu’une base de données</w:t>
      </w:r>
      <w:r w:rsidRPr="00F0728A">
        <w:rPr>
          <w:rFonts w:ascii="Times New Roman" w:hAnsi="Times New Roman"/>
          <w:spacing w:val="4"/>
          <w:sz w:val="24"/>
          <w:szCs w:val="24"/>
        </w:rPr>
        <w:t xml:space="preserve"> unique</w:t>
      </w:r>
      <w:r w:rsidRPr="00F0728A">
        <w:rPr>
          <w:rStyle w:val="FootnoteReference"/>
          <w:rFonts w:ascii="Times New Roman" w:hAnsi="Times New Roman"/>
          <w:spacing w:val="4"/>
          <w:sz w:val="24"/>
          <w:szCs w:val="24"/>
        </w:rPr>
        <w:footnoteReference w:id="7"/>
      </w:r>
      <w:r w:rsidRPr="00F0728A">
        <w:rPr>
          <w:rFonts w:ascii="Times New Roman" w:hAnsi="Times New Roman"/>
          <w:spacing w:val="4"/>
          <w:sz w:val="24"/>
          <w:szCs w:val="24"/>
        </w:rPr>
        <w:t xml:space="preserve"> sera mise en place dans </w:t>
      </w:r>
      <w:r w:rsidRPr="00F0728A">
        <w:rPr>
          <w:rFonts w:ascii="Times New Roman" w:hAnsi="Times New Roman"/>
          <w:spacing w:val="-4"/>
          <w:sz w:val="24"/>
          <w:szCs w:val="24"/>
        </w:rPr>
        <w:t xml:space="preserve">l’entreprise et mise à jour régulièrement, regroupant et rationalisant </w:t>
      </w:r>
      <w:r w:rsidRPr="00F0728A">
        <w:rPr>
          <w:rFonts w:ascii="Times New Roman" w:hAnsi="Times New Roman"/>
          <w:spacing w:val="9"/>
          <w:sz w:val="24"/>
          <w:szCs w:val="24"/>
        </w:rPr>
        <w:t xml:space="preserve">exhaustivement </w:t>
      </w:r>
      <w:r w:rsidRPr="00F0728A">
        <w:rPr>
          <w:rFonts w:ascii="Times New Roman" w:hAnsi="Times New Roman"/>
          <w:spacing w:val="-4"/>
          <w:sz w:val="24"/>
          <w:szCs w:val="24"/>
        </w:rPr>
        <w:t xml:space="preserve">les </w:t>
      </w:r>
      <w:r w:rsidRPr="00F0728A">
        <w:rPr>
          <w:rFonts w:ascii="Times New Roman" w:hAnsi="Times New Roman"/>
          <w:spacing w:val="9"/>
          <w:sz w:val="24"/>
          <w:szCs w:val="24"/>
        </w:rPr>
        <w:t xml:space="preserve">données existantes et sans remettre en cause les attributions des </w:t>
      </w:r>
      <w:r w:rsidRPr="00F0728A">
        <w:rPr>
          <w:rFonts w:ascii="Times New Roman" w:hAnsi="Times New Roman"/>
          <w:spacing w:val="1"/>
          <w:sz w:val="24"/>
          <w:szCs w:val="24"/>
        </w:rPr>
        <w:t xml:space="preserve">représentants du personnel. </w:t>
      </w:r>
    </w:p>
    <w:p w:rsidR="006A416F" w:rsidRPr="00F0728A" w:rsidRDefault="006A416F">
      <w:pPr>
        <w:spacing w:after="0"/>
        <w:contextualSpacing/>
        <w:jc w:val="both"/>
        <w:rPr>
          <w:rFonts w:ascii="Times New Roman" w:hAnsi="Times New Roman"/>
          <w:spacing w:val="4"/>
          <w:sz w:val="24"/>
          <w:szCs w:val="24"/>
        </w:rPr>
      </w:pPr>
    </w:p>
    <w:p w:rsidR="006A416F" w:rsidRPr="00F0728A" w:rsidRDefault="006A416F">
      <w:pPr>
        <w:spacing w:after="0"/>
        <w:contextualSpacing/>
        <w:jc w:val="both"/>
        <w:rPr>
          <w:rFonts w:ascii="Times New Roman" w:hAnsi="Times New Roman"/>
          <w:sz w:val="24"/>
          <w:szCs w:val="24"/>
        </w:rPr>
      </w:pPr>
      <w:r w:rsidRPr="00F0728A">
        <w:rPr>
          <w:rFonts w:ascii="Times New Roman" w:hAnsi="Times New Roman"/>
          <w:sz w:val="24"/>
          <w:szCs w:val="24"/>
        </w:rPr>
        <w:t xml:space="preserve">Conformément à l’annexe visée au renvoi </w:t>
      </w:r>
      <w:r w:rsidRPr="00F0728A">
        <w:rPr>
          <w:rFonts w:ascii="Times New Roman" w:hAnsi="Times New Roman"/>
          <w:sz w:val="24"/>
          <w:szCs w:val="24"/>
          <w:vertAlign w:val="superscript"/>
        </w:rPr>
        <w:t>2</w:t>
      </w:r>
      <w:r w:rsidRPr="00F0728A">
        <w:rPr>
          <w:rFonts w:ascii="Times New Roman" w:hAnsi="Times New Roman"/>
          <w:sz w:val="24"/>
          <w:szCs w:val="24"/>
        </w:rPr>
        <w:t xml:space="preserve">, cette information, économique et sociale, remplace l’ensemble des informations données de façon récurrente aux IRP, sous forme de rapports ou autres. Elle revêt un caractère prospectif  en portant sur les 3 années  suivant celle au cours de laquelle elle est établie.  Elle est mobilisable à tout moment aussi bien par les IRP et les délégués syndicaux, dans le cadre de leurs attributions, que par l’employeur. </w:t>
      </w:r>
    </w:p>
    <w:p w:rsidR="006A416F" w:rsidRPr="00F0728A" w:rsidRDefault="006A416F">
      <w:pPr>
        <w:spacing w:after="0"/>
        <w:contextualSpacing/>
        <w:jc w:val="both"/>
        <w:rPr>
          <w:rFonts w:ascii="Times New Roman" w:hAnsi="Times New Roman"/>
          <w:sz w:val="24"/>
          <w:szCs w:val="24"/>
        </w:rPr>
      </w:pPr>
    </w:p>
    <w:p w:rsidR="006A416F" w:rsidRPr="00F0728A" w:rsidRDefault="006A416F">
      <w:pPr>
        <w:spacing w:after="0"/>
        <w:contextualSpacing/>
        <w:jc w:val="both"/>
        <w:rPr>
          <w:rFonts w:ascii="Times New Roman" w:hAnsi="Times New Roman"/>
          <w:sz w:val="24"/>
          <w:szCs w:val="24"/>
        </w:rPr>
      </w:pPr>
      <w:r w:rsidRPr="00F0728A">
        <w:rPr>
          <w:rFonts w:ascii="Times New Roman" w:hAnsi="Times New Roman"/>
          <w:sz w:val="24"/>
          <w:szCs w:val="24"/>
        </w:rPr>
        <w:t>Elle est le support de la préparation par l’employeur de la consultation des IRP  sur les options stratégiques de l’entreprise et sur leurs conséquences. Elle ne se substitue pas aux informations données aux élus et aux représentants syndicaux en vue de leur consultation sur des événements ponctuels</w:t>
      </w:r>
    </w:p>
    <w:p w:rsidR="006A416F" w:rsidRPr="00F0728A" w:rsidRDefault="006A416F">
      <w:pPr>
        <w:spacing w:after="0"/>
        <w:contextualSpacing/>
        <w:jc w:val="both"/>
        <w:rPr>
          <w:rFonts w:ascii="Times New Roman" w:hAnsi="Times New Roman"/>
          <w:spacing w:val="4"/>
          <w:sz w:val="24"/>
          <w:szCs w:val="24"/>
        </w:rPr>
      </w:pPr>
    </w:p>
    <w:p w:rsidR="006A416F" w:rsidRPr="00F0728A" w:rsidRDefault="006A416F">
      <w:pPr>
        <w:spacing w:after="0"/>
        <w:contextualSpacing/>
        <w:jc w:val="both"/>
        <w:rPr>
          <w:rFonts w:ascii="Times New Roman" w:hAnsi="Times New Roman"/>
          <w:sz w:val="24"/>
          <w:szCs w:val="24"/>
        </w:rPr>
      </w:pPr>
      <w:r w:rsidRPr="00F0728A">
        <w:rPr>
          <w:rFonts w:ascii="Times New Roman" w:hAnsi="Times New Roman"/>
          <w:spacing w:val="4"/>
          <w:sz w:val="24"/>
          <w:szCs w:val="24"/>
        </w:rPr>
        <w:t xml:space="preserve">Elle comprend au moins 5 rubriques, 6 </w:t>
      </w:r>
      <w:r w:rsidRPr="00F0728A">
        <w:rPr>
          <w:rFonts w:ascii="Times New Roman" w:hAnsi="Times New Roman"/>
          <w:sz w:val="24"/>
          <w:szCs w:val="24"/>
        </w:rPr>
        <w:t>pour les groupes :</w:t>
      </w:r>
    </w:p>
    <w:p w:rsidR="006A416F" w:rsidRPr="00F0728A" w:rsidRDefault="006A416F">
      <w:pPr>
        <w:spacing w:after="0"/>
        <w:contextualSpacing/>
        <w:jc w:val="both"/>
        <w:rPr>
          <w:rFonts w:ascii="Times New Roman" w:hAnsi="Times New Roman"/>
          <w:sz w:val="24"/>
          <w:szCs w:val="24"/>
        </w:rPr>
      </w:pPr>
    </w:p>
    <w:p w:rsidR="006A416F" w:rsidRPr="00F0728A" w:rsidRDefault="006A416F" w:rsidP="00DE4F83">
      <w:pPr>
        <w:widowControl w:val="0"/>
        <w:numPr>
          <w:ilvl w:val="0"/>
          <w:numId w:val="19"/>
        </w:numPr>
        <w:tabs>
          <w:tab w:val="clear" w:pos="360"/>
          <w:tab w:val="num" w:pos="720"/>
        </w:tabs>
        <w:kinsoku w:val="0"/>
        <w:spacing w:after="0" w:line="240" w:lineRule="auto"/>
        <w:ind w:left="720" w:right="144"/>
        <w:jc w:val="both"/>
        <w:rPr>
          <w:rFonts w:ascii="Times New Roman" w:hAnsi="Times New Roman"/>
          <w:sz w:val="24"/>
          <w:szCs w:val="24"/>
        </w:rPr>
      </w:pPr>
      <w:r w:rsidRPr="00F0728A">
        <w:rPr>
          <w:rFonts w:ascii="Times New Roman" w:hAnsi="Times New Roman"/>
          <w:spacing w:val="15"/>
          <w:sz w:val="24"/>
          <w:szCs w:val="24"/>
        </w:rPr>
        <w:t xml:space="preserve">investissements, fonds propres et endettement (emploi et </w:t>
      </w:r>
      <w:r w:rsidRPr="00F0728A">
        <w:rPr>
          <w:rFonts w:ascii="Times New Roman" w:hAnsi="Times New Roman"/>
          <w:sz w:val="24"/>
          <w:szCs w:val="24"/>
        </w:rPr>
        <w:t>investissement social, investissement matériel et immatériel),</w:t>
      </w:r>
    </w:p>
    <w:p w:rsidR="006A416F" w:rsidRPr="00F0728A" w:rsidRDefault="006A416F" w:rsidP="00DE4F83">
      <w:pPr>
        <w:widowControl w:val="0"/>
        <w:numPr>
          <w:ilvl w:val="0"/>
          <w:numId w:val="19"/>
        </w:numPr>
        <w:tabs>
          <w:tab w:val="clear" w:pos="360"/>
          <w:tab w:val="num" w:pos="1418"/>
        </w:tabs>
        <w:kinsoku w:val="0"/>
        <w:spacing w:before="72" w:after="0" w:line="240" w:lineRule="auto"/>
        <w:ind w:left="720" w:right="144"/>
        <w:jc w:val="both"/>
        <w:rPr>
          <w:rFonts w:ascii="Times New Roman" w:hAnsi="Times New Roman"/>
          <w:sz w:val="24"/>
          <w:szCs w:val="24"/>
        </w:rPr>
      </w:pPr>
      <w:r w:rsidRPr="00F0728A">
        <w:rPr>
          <w:rFonts w:ascii="Times New Roman" w:hAnsi="Times New Roman"/>
          <w:spacing w:val="14"/>
          <w:sz w:val="24"/>
          <w:szCs w:val="24"/>
        </w:rPr>
        <w:t xml:space="preserve">rétributions (salariés et dirigeants) et activités sociales et </w:t>
      </w:r>
      <w:r w:rsidRPr="00F0728A">
        <w:rPr>
          <w:rFonts w:ascii="Times New Roman" w:hAnsi="Times New Roman"/>
          <w:sz w:val="24"/>
          <w:szCs w:val="24"/>
        </w:rPr>
        <w:t>culturelles,</w:t>
      </w:r>
    </w:p>
    <w:p w:rsidR="006A416F" w:rsidRPr="00F0728A" w:rsidRDefault="006A416F" w:rsidP="00DE4F83">
      <w:pPr>
        <w:widowControl w:val="0"/>
        <w:numPr>
          <w:ilvl w:val="0"/>
          <w:numId w:val="19"/>
        </w:numPr>
        <w:tabs>
          <w:tab w:val="clear" w:pos="360"/>
          <w:tab w:val="num" w:pos="1418"/>
        </w:tabs>
        <w:kinsoku w:val="0"/>
        <w:spacing w:before="144" w:after="0" w:line="240" w:lineRule="auto"/>
        <w:ind w:left="720"/>
        <w:jc w:val="both"/>
        <w:rPr>
          <w:rFonts w:ascii="Times New Roman" w:hAnsi="Times New Roman"/>
          <w:spacing w:val="6"/>
          <w:sz w:val="24"/>
          <w:szCs w:val="24"/>
        </w:rPr>
      </w:pPr>
      <w:r w:rsidRPr="00F0728A">
        <w:rPr>
          <w:rFonts w:ascii="Times New Roman" w:hAnsi="Times New Roman"/>
          <w:spacing w:val="6"/>
          <w:sz w:val="24"/>
          <w:szCs w:val="24"/>
        </w:rPr>
        <w:t>rémunération des financeurs,</w:t>
      </w:r>
    </w:p>
    <w:p w:rsidR="006A416F" w:rsidRPr="00F0728A" w:rsidRDefault="006A416F" w:rsidP="00DE4F83">
      <w:pPr>
        <w:widowControl w:val="0"/>
        <w:numPr>
          <w:ilvl w:val="0"/>
          <w:numId w:val="19"/>
        </w:numPr>
        <w:tabs>
          <w:tab w:val="clear" w:pos="360"/>
          <w:tab w:val="num" w:pos="1418"/>
        </w:tabs>
        <w:kinsoku w:val="0"/>
        <w:spacing w:before="108" w:after="0" w:line="240" w:lineRule="auto"/>
        <w:ind w:left="720" w:right="144"/>
        <w:jc w:val="both"/>
        <w:rPr>
          <w:rFonts w:ascii="Times New Roman" w:hAnsi="Times New Roman"/>
          <w:sz w:val="24"/>
          <w:szCs w:val="24"/>
        </w:rPr>
      </w:pPr>
      <w:r w:rsidRPr="00F0728A">
        <w:rPr>
          <w:rFonts w:ascii="Times New Roman" w:hAnsi="Times New Roman"/>
          <w:spacing w:val="2"/>
          <w:sz w:val="24"/>
          <w:szCs w:val="24"/>
        </w:rPr>
        <w:t xml:space="preserve">flux financiers entre la société et l’entreprise (aides reçues, flux </w:t>
      </w:r>
      <w:r w:rsidRPr="00F0728A">
        <w:rPr>
          <w:rFonts w:ascii="Times New Roman" w:hAnsi="Times New Roman"/>
          <w:sz w:val="24"/>
          <w:szCs w:val="24"/>
        </w:rPr>
        <w:t>sortants, crédits d’impôts),</w:t>
      </w:r>
    </w:p>
    <w:p w:rsidR="006A416F" w:rsidRPr="00F0728A" w:rsidRDefault="006A416F" w:rsidP="00DE4F83">
      <w:pPr>
        <w:widowControl w:val="0"/>
        <w:numPr>
          <w:ilvl w:val="0"/>
          <w:numId w:val="19"/>
        </w:numPr>
        <w:tabs>
          <w:tab w:val="clear" w:pos="360"/>
          <w:tab w:val="num" w:pos="1418"/>
        </w:tabs>
        <w:kinsoku w:val="0"/>
        <w:spacing w:before="108" w:after="0" w:line="240" w:lineRule="auto"/>
        <w:ind w:left="720"/>
        <w:jc w:val="both"/>
        <w:rPr>
          <w:rFonts w:ascii="Times New Roman" w:hAnsi="Times New Roman"/>
          <w:spacing w:val="3"/>
          <w:sz w:val="24"/>
          <w:szCs w:val="24"/>
        </w:rPr>
      </w:pPr>
      <w:r w:rsidRPr="00F0728A">
        <w:rPr>
          <w:rFonts w:ascii="Times New Roman" w:hAnsi="Times New Roman"/>
          <w:spacing w:val="3"/>
          <w:sz w:val="24"/>
          <w:szCs w:val="24"/>
        </w:rPr>
        <w:t>sous-traitance (y compris l’intégration dans la filière),</w:t>
      </w:r>
    </w:p>
    <w:p w:rsidR="006A416F" w:rsidRPr="00F0728A" w:rsidRDefault="006A416F" w:rsidP="00DE4F83">
      <w:pPr>
        <w:widowControl w:val="0"/>
        <w:numPr>
          <w:ilvl w:val="0"/>
          <w:numId w:val="19"/>
        </w:numPr>
        <w:tabs>
          <w:tab w:val="clear" w:pos="360"/>
          <w:tab w:val="num" w:pos="1418"/>
        </w:tabs>
        <w:kinsoku w:val="0"/>
        <w:spacing w:before="72" w:after="0" w:line="240" w:lineRule="auto"/>
        <w:ind w:left="720" w:right="144"/>
        <w:jc w:val="both"/>
        <w:rPr>
          <w:rFonts w:ascii="Times New Roman" w:hAnsi="Times New Roman"/>
          <w:sz w:val="24"/>
          <w:szCs w:val="24"/>
        </w:rPr>
      </w:pPr>
      <w:r w:rsidRPr="00F0728A">
        <w:rPr>
          <w:rFonts w:ascii="Times New Roman" w:hAnsi="Times New Roman"/>
          <w:sz w:val="24"/>
          <w:szCs w:val="24"/>
        </w:rPr>
        <w:t>transferts internes au groupe (flux commerciaux et financiers entre les entités du groupe).</w:t>
      </w:r>
    </w:p>
    <w:p w:rsidR="006A416F" w:rsidRPr="00F0728A" w:rsidRDefault="006A416F">
      <w:pPr>
        <w:spacing w:before="108" w:after="0"/>
        <w:ind w:right="144"/>
        <w:jc w:val="both"/>
        <w:rPr>
          <w:rFonts w:ascii="Times New Roman" w:hAnsi="Times New Roman"/>
          <w:spacing w:val="10"/>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Un accord collectif de branche ou d’entreprise peut adapter le contenu des informations relevant de ces rubriques, en fonction de l’organisation et/ou du domaine d’activité de l’entreprise. </w:t>
      </w:r>
    </w:p>
    <w:p w:rsidR="006A416F" w:rsidRPr="00F0728A" w:rsidRDefault="006A416F">
      <w:pPr>
        <w:spacing w:before="108" w:after="0"/>
        <w:ind w:right="144"/>
        <w:jc w:val="both"/>
        <w:rPr>
          <w:rFonts w:ascii="Times New Roman" w:hAnsi="Times New Roman"/>
          <w:sz w:val="24"/>
          <w:szCs w:val="24"/>
        </w:rPr>
      </w:pPr>
      <w:r w:rsidRPr="00F0728A">
        <w:rPr>
          <w:rFonts w:ascii="Times New Roman" w:hAnsi="Times New Roman"/>
          <w:spacing w:val="10"/>
          <w:sz w:val="24"/>
          <w:szCs w:val="24"/>
        </w:rPr>
        <w:t>Le contenu et les modalités d’utilisation de ce document unique (ou base de données) – qui, compte tenu des contraintes techniques pesant sur sa mise en œuvre, devra être opérationnel au plus tard 1</w:t>
      </w:r>
      <w:r>
        <w:rPr>
          <w:rFonts w:ascii="Times New Roman" w:hAnsi="Times New Roman"/>
          <w:spacing w:val="10"/>
          <w:sz w:val="24"/>
          <w:szCs w:val="24"/>
        </w:rPr>
        <w:t xml:space="preserve"> an</w:t>
      </w:r>
      <w:r w:rsidRPr="00F0728A">
        <w:rPr>
          <w:rFonts w:ascii="Times New Roman" w:hAnsi="Times New Roman"/>
          <w:spacing w:val="10"/>
          <w:sz w:val="24"/>
          <w:szCs w:val="24"/>
        </w:rPr>
        <w:t xml:space="preserve"> après l’entrée en application de l’accord - font l’objet d’adaptations aux </w:t>
      </w:r>
      <w:r w:rsidRPr="00F0728A">
        <w:rPr>
          <w:rFonts w:ascii="Times New Roman" w:hAnsi="Times New Roman"/>
          <w:spacing w:val="-3"/>
          <w:sz w:val="24"/>
          <w:szCs w:val="24"/>
        </w:rPr>
        <w:t xml:space="preserve">entreprises de moins de 300 salariés dans les 12 mois suivant </w:t>
      </w:r>
      <w:r w:rsidRPr="00F0728A">
        <w:rPr>
          <w:rFonts w:ascii="Times New Roman" w:hAnsi="Times New Roman"/>
          <w:sz w:val="24"/>
          <w:szCs w:val="24"/>
        </w:rPr>
        <w:t>sa mise en œuvre dans les entreprises de 300 salariés et plus.</w:t>
      </w:r>
    </w:p>
    <w:p w:rsidR="006A416F" w:rsidRPr="00F0728A" w:rsidRDefault="006A416F">
      <w:pPr>
        <w:spacing w:before="108" w:after="0"/>
        <w:ind w:right="144"/>
        <w:jc w:val="both"/>
        <w:rPr>
          <w:rFonts w:ascii="Times New Roman" w:hAnsi="Times New Roman"/>
          <w:sz w:val="24"/>
          <w:szCs w:val="24"/>
        </w:rPr>
      </w:pPr>
    </w:p>
    <w:p w:rsidR="006A416F" w:rsidRPr="00F0728A" w:rsidRDefault="006A416F">
      <w:pPr>
        <w:spacing w:after="0"/>
        <w:contextualSpacing/>
        <w:jc w:val="both"/>
        <w:rPr>
          <w:rFonts w:ascii="Times New Roman" w:hAnsi="Times New Roman"/>
          <w:sz w:val="24"/>
          <w:szCs w:val="24"/>
        </w:rPr>
      </w:pPr>
    </w:p>
    <w:p w:rsidR="006A416F" w:rsidRPr="00F0728A" w:rsidRDefault="006A416F">
      <w:pPr>
        <w:spacing w:after="0"/>
        <w:contextualSpacing/>
        <w:jc w:val="both"/>
        <w:rPr>
          <w:rFonts w:ascii="Times New Roman" w:hAnsi="Times New Roman"/>
          <w:sz w:val="24"/>
          <w:szCs w:val="24"/>
        </w:rPr>
      </w:pPr>
      <w:r w:rsidRPr="00F0728A">
        <w:rPr>
          <w:rFonts w:ascii="Times New Roman" w:hAnsi="Times New Roman"/>
          <w:b/>
          <w:sz w:val="24"/>
          <w:szCs w:val="24"/>
        </w:rPr>
        <w:t>2/</w:t>
      </w:r>
      <w:r w:rsidRPr="00F0728A">
        <w:rPr>
          <w:rFonts w:ascii="Times New Roman" w:hAnsi="Times New Roman"/>
          <w:sz w:val="24"/>
          <w:szCs w:val="24"/>
        </w:rPr>
        <w:t xml:space="preserve"> Ce dispositif doit permettre :</w:t>
      </w:r>
    </w:p>
    <w:p w:rsidR="006A416F" w:rsidRPr="00F0728A" w:rsidRDefault="006A416F">
      <w:pPr>
        <w:spacing w:after="0"/>
        <w:contextualSpacing/>
        <w:jc w:val="both"/>
        <w:rPr>
          <w:rFonts w:ascii="Times New Roman" w:hAnsi="Times New Roman"/>
          <w:sz w:val="24"/>
          <w:szCs w:val="24"/>
        </w:rPr>
      </w:pPr>
    </w:p>
    <w:p w:rsidR="006A416F" w:rsidRPr="00F0728A" w:rsidRDefault="006A416F" w:rsidP="00DE4F83">
      <w:pPr>
        <w:widowControl w:val="0"/>
        <w:numPr>
          <w:ilvl w:val="0"/>
          <w:numId w:val="19"/>
        </w:numPr>
        <w:tabs>
          <w:tab w:val="clear" w:pos="360"/>
          <w:tab w:val="num" w:pos="2016"/>
        </w:tabs>
        <w:kinsoku w:val="0"/>
        <w:spacing w:after="0" w:line="240" w:lineRule="auto"/>
        <w:ind w:left="567" w:right="144"/>
        <w:jc w:val="both"/>
        <w:rPr>
          <w:rFonts w:ascii="Times New Roman" w:hAnsi="Times New Roman"/>
          <w:sz w:val="24"/>
          <w:szCs w:val="24"/>
        </w:rPr>
      </w:pPr>
      <w:r w:rsidRPr="00F0728A">
        <w:rPr>
          <w:rFonts w:ascii="Times New Roman" w:hAnsi="Times New Roman"/>
          <w:spacing w:val="20"/>
          <w:sz w:val="24"/>
          <w:szCs w:val="24"/>
        </w:rPr>
        <w:t xml:space="preserve">une présentation pédagogique par l’employeur des options </w:t>
      </w:r>
      <w:r w:rsidRPr="00F0728A">
        <w:rPr>
          <w:rFonts w:ascii="Times New Roman" w:hAnsi="Times New Roman"/>
          <w:spacing w:val="4"/>
          <w:sz w:val="24"/>
          <w:szCs w:val="24"/>
        </w:rPr>
        <w:t xml:space="preserve">stratégiques possibles et des conséquences anticipées de chaque </w:t>
      </w:r>
      <w:r w:rsidRPr="00F0728A">
        <w:rPr>
          <w:rFonts w:ascii="Times New Roman" w:hAnsi="Times New Roman"/>
          <w:spacing w:val="1"/>
          <w:sz w:val="24"/>
          <w:szCs w:val="24"/>
        </w:rPr>
        <w:t xml:space="preserve">option en termes d’évolution de l’activité, des métiers impactés, des compétences requises, de l’emploi, du recours à la sous-traitance, à </w:t>
      </w:r>
      <w:r w:rsidRPr="00F0728A">
        <w:rPr>
          <w:rFonts w:ascii="Times New Roman" w:hAnsi="Times New Roman"/>
          <w:sz w:val="24"/>
          <w:szCs w:val="24"/>
        </w:rPr>
        <w:t>l’intérim, à des contrats temporaires ou à de nouveaux partenariats,</w:t>
      </w:r>
    </w:p>
    <w:p w:rsidR="006A416F" w:rsidRPr="00F0728A" w:rsidRDefault="006A416F" w:rsidP="00DE4F83">
      <w:pPr>
        <w:widowControl w:val="0"/>
        <w:numPr>
          <w:ilvl w:val="0"/>
          <w:numId w:val="19"/>
        </w:numPr>
        <w:tabs>
          <w:tab w:val="clear" w:pos="360"/>
          <w:tab w:val="num" w:pos="2016"/>
        </w:tabs>
        <w:kinsoku w:val="0"/>
        <w:spacing w:before="108" w:after="0" w:line="240" w:lineRule="auto"/>
        <w:ind w:left="567" w:right="144"/>
        <w:jc w:val="both"/>
        <w:rPr>
          <w:rFonts w:ascii="Times New Roman" w:hAnsi="Times New Roman"/>
          <w:sz w:val="24"/>
          <w:szCs w:val="24"/>
        </w:rPr>
      </w:pPr>
      <w:r w:rsidRPr="00F0728A">
        <w:rPr>
          <w:rFonts w:ascii="Times New Roman" w:hAnsi="Times New Roman"/>
          <w:spacing w:val="1"/>
          <w:sz w:val="24"/>
          <w:szCs w:val="24"/>
        </w:rPr>
        <w:t xml:space="preserve">un débat entre l’employeur et les représentants du personnel sur les </w:t>
      </w:r>
      <w:r w:rsidRPr="00F0728A">
        <w:rPr>
          <w:rFonts w:ascii="Times New Roman" w:hAnsi="Times New Roman"/>
          <w:sz w:val="24"/>
          <w:szCs w:val="24"/>
        </w:rPr>
        <w:t>perspectives présentées,</w:t>
      </w:r>
    </w:p>
    <w:p w:rsidR="006A416F" w:rsidRPr="00F0728A" w:rsidRDefault="006A416F" w:rsidP="00DE4F83">
      <w:pPr>
        <w:widowControl w:val="0"/>
        <w:numPr>
          <w:ilvl w:val="0"/>
          <w:numId w:val="19"/>
        </w:numPr>
        <w:tabs>
          <w:tab w:val="clear" w:pos="360"/>
          <w:tab w:val="num" w:pos="2016"/>
        </w:tabs>
        <w:kinsoku w:val="0"/>
        <w:spacing w:before="108" w:after="0" w:line="240" w:lineRule="auto"/>
        <w:ind w:left="567" w:right="144"/>
        <w:jc w:val="both"/>
        <w:rPr>
          <w:rFonts w:ascii="Times New Roman" w:hAnsi="Times New Roman"/>
          <w:spacing w:val="1"/>
          <w:sz w:val="24"/>
          <w:szCs w:val="24"/>
        </w:rPr>
      </w:pPr>
      <w:r w:rsidRPr="00F0728A">
        <w:rPr>
          <w:rFonts w:ascii="Times New Roman" w:hAnsi="Times New Roman"/>
          <w:spacing w:val="6"/>
          <w:sz w:val="24"/>
          <w:szCs w:val="24"/>
        </w:rPr>
        <w:t xml:space="preserve">un avis rédigé par les représentants du personnel, commentant les </w:t>
      </w:r>
      <w:r w:rsidRPr="00F0728A">
        <w:rPr>
          <w:rFonts w:ascii="Times New Roman" w:hAnsi="Times New Roman"/>
          <w:spacing w:val="1"/>
          <w:sz w:val="24"/>
          <w:szCs w:val="24"/>
        </w:rPr>
        <w:t>options proposées et formulant le cas échéant une option alternative,</w:t>
      </w:r>
    </w:p>
    <w:p w:rsidR="006A416F" w:rsidRPr="00F0728A" w:rsidRDefault="006A416F" w:rsidP="00DE4F83">
      <w:pPr>
        <w:widowControl w:val="0"/>
        <w:numPr>
          <w:ilvl w:val="0"/>
          <w:numId w:val="19"/>
        </w:numPr>
        <w:tabs>
          <w:tab w:val="clear" w:pos="360"/>
          <w:tab w:val="num" w:pos="2016"/>
        </w:tabs>
        <w:kinsoku w:val="0"/>
        <w:spacing w:before="108" w:after="0" w:line="240" w:lineRule="auto"/>
        <w:ind w:left="567" w:right="144"/>
        <w:jc w:val="both"/>
        <w:rPr>
          <w:rFonts w:ascii="Times New Roman" w:hAnsi="Times New Roman"/>
          <w:sz w:val="24"/>
          <w:szCs w:val="24"/>
        </w:rPr>
      </w:pPr>
      <w:r w:rsidRPr="00F0728A">
        <w:rPr>
          <w:rFonts w:ascii="Times New Roman" w:hAnsi="Times New Roman"/>
          <w:sz w:val="24"/>
          <w:szCs w:val="24"/>
        </w:rPr>
        <w:t>une réponse argumentée de l’employeur à l’avis des élus.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Dans le cadre de ce dialogue renforcé, l’avis des IRP sur les orientations stratégiques arrêtées par le conseil d’administration est transmis à ce dernier, qui devra en délibérer. Cette délibération sera portée à la connaissance des IRP.</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3/</w:t>
      </w:r>
      <w:r w:rsidRPr="00F0728A">
        <w:rPr>
          <w:rFonts w:ascii="Times New Roman" w:hAnsi="Times New Roman"/>
          <w:sz w:val="24"/>
          <w:szCs w:val="24"/>
        </w:rPr>
        <w:t xml:space="preserve"> L’effort d’anticipation et d’information sur l’évolution de l’entreprise </w:t>
      </w:r>
      <w:r w:rsidRPr="00F0728A">
        <w:rPr>
          <w:rFonts w:ascii="Times New Roman" w:hAnsi="Times New Roman"/>
          <w:spacing w:val="21"/>
          <w:sz w:val="24"/>
          <w:szCs w:val="24"/>
        </w:rPr>
        <w:t xml:space="preserve">suppose un partage d’informations et engage la </w:t>
      </w:r>
      <w:r w:rsidRPr="00F0728A">
        <w:rPr>
          <w:rFonts w:ascii="Times New Roman" w:hAnsi="Times New Roman"/>
          <w:spacing w:val="2"/>
          <w:sz w:val="24"/>
          <w:szCs w:val="24"/>
        </w:rPr>
        <w:t xml:space="preserve">responsabilité de chaque partie à l’égard de leur diffusion, afin que le </w:t>
      </w:r>
      <w:r w:rsidRPr="00F0728A">
        <w:rPr>
          <w:rFonts w:ascii="Times New Roman" w:hAnsi="Times New Roman"/>
          <w:sz w:val="24"/>
          <w:szCs w:val="24"/>
        </w:rPr>
        <w:t>dialogue puisse être constructif et se tenir dans un climat de confiance.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Ce partage d’information doit donc être entouré d’un certain nombre de garanties, notamment au regard de la confidentialité des informations fournies et identifiées comme telles.</w:t>
      </w:r>
    </w:p>
    <w:p w:rsidR="006A416F" w:rsidRPr="00F0728A" w:rsidRDefault="006A416F">
      <w:pPr>
        <w:spacing w:after="0"/>
        <w:jc w:val="both"/>
        <w:rPr>
          <w:rFonts w:ascii="Times New Roman" w:hAnsi="Times New Roman"/>
          <w:sz w:val="24"/>
          <w:szCs w:val="24"/>
        </w:rPr>
      </w:pPr>
    </w:p>
    <w:p w:rsidR="006A416F" w:rsidRPr="00F0728A" w:rsidRDefault="006A416F">
      <w:pPr>
        <w:spacing w:after="0"/>
        <w:ind w:right="72"/>
        <w:jc w:val="both"/>
        <w:rPr>
          <w:rFonts w:ascii="Times New Roman" w:hAnsi="Times New Roman"/>
          <w:spacing w:val="-5"/>
          <w:sz w:val="24"/>
          <w:szCs w:val="24"/>
        </w:rPr>
      </w:pPr>
      <w:r w:rsidRPr="00F0728A">
        <w:rPr>
          <w:rFonts w:ascii="Times New Roman" w:hAnsi="Times New Roman"/>
          <w:spacing w:val="3"/>
          <w:sz w:val="24"/>
          <w:szCs w:val="24"/>
        </w:rPr>
        <w:t xml:space="preserve">Ainsi, quand l’employeur estime que les informations qu’il doit donner sont </w:t>
      </w:r>
      <w:r w:rsidRPr="00F0728A">
        <w:rPr>
          <w:rFonts w:ascii="Times New Roman" w:hAnsi="Times New Roman"/>
          <w:sz w:val="24"/>
          <w:szCs w:val="24"/>
        </w:rPr>
        <w:t xml:space="preserve">sensibles et doivent rester confidentielles, il indique aux élus les raisons </w:t>
      </w:r>
      <w:r w:rsidRPr="00F0728A">
        <w:rPr>
          <w:rFonts w:ascii="Times New Roman" w:hAnsi="Times New Roman"/>
          <w:spacing w:val="3"/>
          <w:sz w:val="24"/>
          <w:szCs w:val="24"/>
        </w:rPr>
        <w:t xml:space="preserve">et la durée souhaitable de ce caractère confidentiel, que les élus sont </w:t>
      </w:r>
      <w:r w:rsidRPr="00F0728A">
        <w:rPr>
          <w:rFonts w:ascii="Times New Roman" w:hAnsi="Times New Roman"/>
          <w:spacing w:val="-5"/>
          <w:sz w:val="24"/>
          <w:szCs w:val="24"/>
        </w:rPr>
        <w:t xml:space="preserve">tenus de respecter. </w:t>
      </w:r>
    </w:p>
    <w:p w:rsidR="006A416F" w:rsidRPr="00F0728A" w:rsidRDefault="006A416F">
      <w:pPr>
        <w:spacing w:after="0"/>
        <w:ind w:right="72"/>
        <w:jc w:val="both"/>
        <w:rPr>
          <w:rFonts w:ascii="Times New Roman" w:hAnsi="Times New Roman"/>
          <w:spacing w:val="-5"/>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4/</w:t>
      </w:r>
      <w:r w:rsidRPr="00F0728A">
        <w:rPr>
          <w:rFonts w:ascii="Times New Roman" w:hAnsi="Times New Roman"/>
          <w:sz w:val="24"/>
          <w:szCs w:val="24"/>
        </w:rPr>
        <w:t xml:space="preserve"> Les demandes d’information ou d’éclaircissement ne doivent en aucun cas conduire à empêcher la bonne marche de l’entreprise, y compris le fonctionnement des organes de gouvernance, tel que prévu par le code de commerce (conseil d’administration, assemblée générale,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A cet effet, compte tenu de l’exhaustivité des informations à disposition des IRP figurant obligatoirement dans le document unique prévu ci-dessus, un délai préfixe est laissé aux IRP par le code du travail – sauf accord entre l’employeur et l’IRP concernée - pour faire connaître leur avis. Ce délai préfix doit être suffisant pour permettre aux IRP d’obtenir les réponses de l’employeur à leurs questions</w:t>
      </w:r>
      <w:r w:rsidRPr="00842E25">
        <w:rPr>
          <w:rFonts w:ascii="Times New Roman" w:hAnsi="Times New Roman"/>
          <w:sz w:val="24"/>
          <w:szCs w:val="24"/>
          <w:vertAlign w:val="superscript"/>
        </w:rPr>
        <w:t xml:space="preserve">, </w:t>
      </w:r>
      <w:r w:rsidRPr="0003128A">
        <w:rPr>
          <w:rFonts w:ascii="Times New Roman" w:hAnsi="Times New Roman"/>
          <w:sz w:val="24"/>
          <w:szCs w:val="24"/>
        </w:rPr>
        <w:t>et au besoin d’obtenir du juge des référés qu’il statue sur la remise par l’employeur des éléments d’information que les IRP estimeraient manquants</w:t>
      </w:r>
      <w:r w:rsidRPr="00842E25">
        <w:rPr>
          <w:rFonts w:ascii="Times New Roman" w:hAnsi="Times New Roman"/>
          <w:sz w:val="24"/>
          <w:szCs w:val="24"/>
        </w:rPr>
        <w:t>. L’absence d’avis des IRP vaut avis négatif.</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rsidP="0082365E">
      <w:pPr>
        <w:spacing w:after="0"/>
        <w:jc w:val="both"/>
        <w:rPr>
          <w:rFonts w:ascii="Times New Roman" w:hAnsi="Times New Roman"/>
          <w:sz w:val="24"/>
          <w:szCs w:val="24"/>
        </w:rPr>
      </w:pPr>
      <w:r w:rsidRPr="00F0728A">
        <w:rPr>
          <w:rFonts w:ascii="Times New Roman" w:hAnsi="Times New Roman"/>
          <w:b/>
          <w:sz w:val="24"/>
          <w:szCs w:val="24"/>
        </w:rPr>
        <w:t>5/</w:t>
      </w:r>
      <w:r w:rsidRPr="00F0728A">
        <w:rPr>
          <w:rFonts w:ascii="Times New Roman" w:hAnsi="Times New Roman"/>
          <w:sz w:val="24"/>
          <w:szCs w:val="24"/>
        </w:rPr>
        <w:t xml:space="preserve"> Outre les cas de recours à l’expertise prévus par le code du travail à la date d’entrée en vigueur du présent accord, dans lesquels celle-ci est organisée</w:t>
      </w:r>
      <w:r>
        <w:rPr>
          <w:rFonts w:ascii="Times New Roman" w:hAnsi="Times New Roman"/>
          <w:sz w:val="24"/>
          <w:szCs w:val="24"/>
        </w:rPr>
        <w:t>, en l’absence d’accord entre l’IRP concernée et l’employeur,</w:t>
      </w:r>
      <w:r w:rsidRPr="00F0728A">
        <w:rPr>
          <w:rFonts w:ascii="Times New Roman" w:hAnsi="Times New Roman"/>
          <w:sz w:val="24"/>
          <w:szCs w:val="24"/>
        </w:rPr>
        <w:t xml:space="preserve"> dans des délais préfix, débutant à la date de désignation de l’expert et auxquels il ne peut être dérogé</w:t>
      </w:r>
      <w:r w:rsidRPr="0082365E">
        <w:rPr>
          <w:rFonts w:ascii="Times New Roman" w:hAnsi="Times New Roman"/>
          <w:sz w:val="24"/>
          <w:szCs w:val="24"/>
        </w:rPr>
        <w:t xml:space="preserve"> </w:t>
      </w:r>
      <w:r w:rsidRPr="00F0728A">
        <w:rPr>
          <w:rFonts w:ascii="Times New Roman" w:hAnsi="Times New Roman"/>
          <w:sz w:val="24"/>
          <w:szCs w:val="24"/>
        </w:rPr>
        <w:t>sous aucune condition</w:t>
      </w:r>
      <w:r w:rsidRPr="00F0728A">
        <w:rPr>
          <w:rFonts w:ascii="Times New Roman" w:hAnsi="Times New Roman"/>
          <w:sz w:val="24"/>
          <w:szCs w:val="24"/>
          <w:vertAlign w:val="superscript"/>
        </w:rPr>
        <w:t>,</w:t>
      </w:r>
      <w:r w:rsidRPr="00F0728A">
        <w:rPr>
          <w:rStyle w:val="FootnoteReference"/>
          <w:rFonts w:ascii="Times New Roman" w:hAnsi="Times New Roman"/>
          <w:sz w:val="24"/>
          <w:szCs w:val="24"/>
        </w:rPr>
        <w:footnoteReference w:id="8"/>
      </w:r>
      <w:r w:rsidRPr="00F0728A">
        <w:rPr>
          <w:rFonts w:ascii="Times New Roman" w:hAnsi="Times New Roman"/>
          <w:sz w:val="24"/>
          <w:szCs w:val="24"/>
        </w:rPr>
        <w:t>, et dans la limite de coûts qui, sauf accord entre les IRP et l’employeur, sont fixés sur la base d’un barème établi par le Conseil de l’ordre des expert-comptable, en fonction de l’effectif de l’entreprise ou de l’établissement, les IRP peuvent, lorsqu’elle</w:t>
      </w:r>
      <w:r>
        <w:rPr>
          <w:rFonts w:ascii="Times New Roman" w:hAnsi="Times New Roman"/>
          <w:sz w:val="24"/>
          <w:szCs w:val="24"/>
        </w:rPr>
        <w:t>s</w:t>
      </w:r>
      <w:r w:rsidRPr="00F0728A">
        <w:rPr>
          <w:rFonts w:ascii="Times New Roman" w:hAnsi="Times New Roman"/>
          <w:sz w:val="24"/>
          <w:szCs w:val="24"/>
        </w:rPr>
        <w:t xml:space="preserve"> le jugent nécessaire, se faire accompagner par un expert-comptable de leur choix, pour les aider à analyser les informations mises à leur disposition et avoir une meilleure appréhension des enjeux attachés à la mise en œuvre des orientations stratégiques de l’entreprise.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Cette mission d’accompagnement est financée, sauf accord entre les IRP et l’employeur</w:t>
      </w:r>
      <w:r w:rsidRPr="007A0637">
        <w:rPr>
          <w:rFonts w:ascii="Times New Roman" w:hAnsi="Times New Roman"/>
          <w:sz w:val="24"/>
          <w:szCs w:val="24"/>
        </w:rPr>
        <w:t xml:space="preserve">, </w:t>
      </w:r>
      <w:r>
        <w:rPr>
          <w:rFonts w:ascii="Times New Roman" w:hAnsi="Times New Roman"/>
          <w:sz w:val="24"/>
          <w:szCs w:val="24"/>
        </w:rPr>
        <w:t xml:space="preserve">à hauteur de 20 % </w:t>
      </w:r>
      <w:r w:rsidRPr="00F0728A">
        <w:rPr>
          <w:rFonts w:ascii="Times New Roman" w:hAnsi="Times New Roman"/>
          <w:sz w:val="24"/>
          <w:szCs w:val="24"/>
        </w:rPr>
        <w:t>sur le budget de fonctionnement des IRP.</w:t>
      </w:r>
    </w:p>
    <w:p w:rsidR="006A416F" w:rsidRDefault="006A416F">
      <w:pPr>
        <w:spacing w:after="0"/>
        <w:jc w:val="both"/>
        <w:rPr>
          <w:rFonts w:ascii="Times New Roman" w:hAnsi="Times New Roman"/>
          <w:sz w:val="24"/>
          <w:szCs w:val="24"/>
        </w:rPr>
      </w:pPr>
    </w:p>
    <w:p w:rsidR="006A416F" w:rsidRPr="00BF0953" w:rsidRDefault="006A416F" w:rsidP="00BF0953">
      <w:pPr>
        <w:spacing w:after="0"/>
        <w:jc w:val="both"/>
        <w:rPr>
          <w:rFonts w:ascii="Times New Roman" w:hAnsi="Times New Roman"/>
          <w:sz w:val="24"/>
          <w:szCs w:val="24"/>
        </w:rPr>
      </w:pPr>
      <w:r w:rsidRPr="00723FB3">
        <w:rPr>
          <w:rFonts w:ascii="Times New Roman" w:hAnsi="Times New Roman"/>
          <w:b/>
          <w:sz w:val="24"/>
          <w:szCs w:val="24"/>
        </w:rPr>
        <w:t>6</w:t>
      </w:r>
      <w:r w:rsidRPr="00BF0953">
        <w:rPr>
          <w:rFonts w:ascii="Times New Roman" w:hAnsi="Times New Roman"/>
          <w:sz w:val="24"/>
          <w:szCs w:val="24"/>
        </w:rPr>
        <w:t>/ Lorsque l’entreprise envisage, indépendamment de tout projet de cession, sa fermeture, celle d’un établissement, d’un site ou d’une filiale, il convient d’envisager la recherche de repreneurs dès l’annonce du projet de fermeture.</w:t>
      </w:r>
    </w:p>
    <w:p w:rsidR="006A416F" w:rsidRPr="00BF0953" w:rsidRDefault="006A416F" w:rsidP="00BF0953">
      <w:pPr>
        <w:spacing w:after="0"/>
        <w:jc w:val="both"/>
        <w:rPr>
          <w:rFonts w:ascii="Times New Roman" w:hAnsi="Times New Roman"/>
          <w:sz w:val="24"/>
          <w:szCs w:val="24"/>
        </w:rPr>
      </w:pPr>
    </w:p>
    <w:p w:rsidR="006A416F" w:rsidRDefault="006A416F" w:rsidP="00BF0953">
      <w:pPr>
        <w:spacing w:after="0"/>
        <w:jc w:val="both"/>
        <w:rPr>
          <w:rFonts w:ascii="Times New Roman" w:hAnsi="Times New Roman"/>
          <w:sz w:val="24"/>
          <w:szCs w:val="24"/>
        </w:rPr>
      </w:pPr>
      <w:r w:rsidRPr="00BF0953">
        <w:rPr>
          <w:rFonts w:ascii="Times New Roman" w:hAnsi="Times New Roman"/>
          <w:sz w:val="24"/>
          <w:szCs w:val="24"/>
        </w:rPr>
        <w:t>Le comité d’entreprise est informé et consulté sur cette recherche. Il peut se faire assister par un expert-comptable de son choix pour analyser le processus de reprise, sa méthodologie et son ciblage, pour apprécier les informations mises à la disposition des repreneurs potentiels et pour analyser les projets de reprise.</w:t>
      </w:r>
    </w:p>
    <w:p w:rsidR="006A416F" w:rsidRPr="00BF0953" w:rsidRDefault="006A416F" w:rsidP="00BF0953">
      <w:pPr>
        <w:spacing w:after="0"/>
        <w:jc w:val="both"/>
        <w:rPr>
          <w:rFonts w:ascii="Times New Roman" w:hAnsi="Times New Roman"/>
          <w:sz w:val="24"/>
          <w:szCs w:val="24"/>
        </w:rPr>
      </w:pPr>
    </w:p>
    <w:p w:rsidR="006A416F" w:rsidRDefault="006A416F" w:rsidP="00BF0953">
      <w:pPr>
        <w:spacing w:after="0"/>
        <w:jc w:val="both"/>
        <w:rPr>
          <w:rFonts w:ascii="Times New Roman" w:hAnsi="Times New Roman"/>
          <w:sz w:val="24"/>
          <w:szCs w:val="24"/>
        </w:rPr>
      </w:pPr>
      <w:r w:rsidRPr="00BF0953">
        <w:rPr>
          <w:rFonts w:ascii="Times New Roman" w:hAnsi="Times New Roman"/>
          <w:sz w:val="24"/>
          <w:szCs w:val="24"/>
        </w:rPr>
        <w:t>Lorsqu’un repreneur potentiel formalise son intention de reprise, le comité d’entreprise en est informé, dans le respect de son obligation de discrétion, par le cédant. Il peut émettre un avis sur l’offre de reprise après examen de celle-ci par l’expert- qu’il a désigné le cas échéant.</w:t>
      </w:r>
    </w:p>
    <w:p w:rsidR="006A416F" w:rsidRPr="00F0728A" w:rsidRDefault="006A416F" w:rsidP="00BF0953">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Pr>
          <w:rFonts w:ascii="Times New Roman" w:hAnsi="Times New Roman"/>
          <w:b/>
          <w:sz w:val="24"/>
          <w:szCs w:val="24"/>
        </w:rPr>
        <w:t>7</w:t>
      </w:r>
      <w:r w:rsidRPr="00F0728A">
        <w:rPr>
          <w:rFonts w:ascii="Times New Roman" w:hAnsi="Times New Roman"/>
          <w:b/>
          <w:sz w:val="24"/>
          <w:szCs w:val="24"/>
        </w:rPr>
        <w:t>/</w:t>
      </w:r>
      <w:r w:rsidRPr="00F0728A">
        <w:rPr>
          <w:rFonts w:ascii="Times New Roman" w:hAnsi="Times New Roman"/>
          <w:sz w:val="24"/>
          <w:szCs w:val="24"/>
        </w:rPr>
        <w:t xml:space="preserve"> Pour toute décision de l’entreprise conduisant à saisir le CHSCT, il est mis en place, si plusieurs établissements sont concernés</w:t>
      </w:r>
      <w:r>
        <w:rPr>
          <w:rFonts w:ascii="Times New Roman" w:hAnsi="Times New Roman"/>
          <w:sz w:val="24"/>
          <w:szCs w:val="24"/>
        </w:rPr>
        <w:t xml:space="preserve"> par le même projet</w:t>
      </w:r>
      <w:r w:rsidRPr="00F0728A">
        <w:rPr>
          <w:rFonts w:ascii="Times New Roman" w:hAnsi="Times New Roman"/>
          <w:sz w:val="24"/>
          <w:szCs w:val="24"/>
        </w:rPr>
        <w:t xml:space="preserve">, une instance de coordination ad hoc </w:t>
      </w:r>
      <w:r>
        <w:rPr>
          <w:rFonts w:ascii="Times New Roman" w:hAnsi="Times New Roman"/>
          <w:sz w:val="24"/>
          <w:szCs w:val="24"/>
        </w:rPr>
        <w:t xml:space="preserve">issue de comités locaux </w:t>
      </w:r>
      <w:r w:rsidRPr="00F0728A">
        <w:rPr>
          <w:rFonts w:ascii="Times New Roman" w:hAnsi="Times New Roman"/>
          <w:sz w:val="24"/>
          <w:szCs w:val="24"/>
        </w:rPr>
        <w:t xml:space="preserve">qui, dans les cas prévus par la loi de recours </w:t>
      </w:r>
      <w:r>
        <w:rPr>
          <w:rFonts w:ascii="Times New Roman" w:hAnsi="Times New Roman"/>
          <w:sz w:val="24"/>
          <w:szCs w:val="24"/>
        </w:rPr>
        <w:t>à</w:t>
      </w:r>
      <w:r w:rsidRPr="00F0728A">
        <w:rPr>
          <w:rFonts w:ascii="Times New Roman" w:hAnsi="Times New Roman"/>
          <w:sz w:val="24"/>
          <w:szCs w:val="24"/>
        </w:rPr>
        <w:t xml:space="preserve"> l’expertise par les CHSCT,  fait appel, à une expertise unique. Celle-ci est réalisée dans le délai préfix d’intervention de l’expert-comptable</w:t>
      </w:r>
      <w:r>
        <w:rPr>
          <w:rStyle w:val="FootnoteReference"/>
          <w:rFonts w:ascii="Times New Roman" w:hAnsi="Times New Roman"/>
          <w:sz w:val="24"/>
          <w:szCs w:val="24"/>
        </w:rPr>
        <w:footnoteReference w:id="9"/>
      </w:r>
      <w:r w:rsidRPr="00F0728A">
        <w:rPr>
          <w:rFonts w:ascii="Times New Roman" w:hAnsi="Times New Roman"/>
          <w:sz w:val="24"/>
          <w:szCs w:val="24"/>
        </w:rPr>
        <w:t xml:space="preserve"> et porte sur l’ensemble des éléments relevant de la compétence des CHSCT. Le résultat de cette expertise est communiqué à l’ensemble des CHSCT concernés.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pacing w:val="1"/>
          <w:sz w:val="24"/>
          <w:szCs w:val="24"/>
        </w:rPr>
      </w:pPr>
    </w:p>
    <w:p w:rsidR="006A416F" w:rsidRPr="00F0728A" w:rsidRDefault="006A416F">
      <w:pPr>
        <w:spacing w:after="0"/>
        <w:jc w:val="both"/>
        <w:rPr>
          <w:rFonts w:ascii="Times New Roman" w:hAnsi="Times New Roman"/>
          <w:b/>
          <w:spacing w:val="1"/>
          <w:sz w:val="24"/>
          <w:szCs w:val="24"/>
        </w:rPr>
      </w:pPr>
      <w:r w:rsidRPr="00723FB3">
        <w:rPr>
          <w:rFonts w:ascii="Times New Roman" w:hAnsi="Times New Roman"/>
          <w:b/>
          <w:spacing w:val="1"/>
          <w:sz w:val="24"/>
          <w:szCs w:val="24"/>
          <w:u w:val="single"/>
        </w:rPr>
        <w:t xml:space="preserve">Article </w:t>
      </w:r>
      <w:r>
        <w:rPr>
          <w:rFonts w:ascii="Times New Roman" w:hAnsi="Times New Roman"/>
          <w:b/>
          <w:spacing w:val="1"/>
          <w:sz w:val="24"/>
          <w:szCs w:val="24"/>
          <w:u w:val="single"/>
        </w:rPr>
        <w:t>13</w:t>
      </w:r>
      <w:r w:rsidRPr="00F0728A">
        <w:rPr>
          <w:rFonts w:ascii="Times New Roman" w:hAnsi="Times New Roman"/>
          <w:b/>
          <w:spacing w:val="1"/>
          <w:sz w:val="24"/>
          <w:szCs w:val="24"/>
        </w:rPr>
        <w:t xml:space="preserve"> – Représentation des salariés dans l’organe </w:t>
      </w:r>
      <w:r>
        <w:rPr>
          <w:rFonts w:ascii="Times New Roman" w:hAnsi="Times New Roman"/>
          <w:b/>
          <w:spacing w:val="1"/>
          <w:sz w:val="24"/>
          <w:szCs w:val="24"/>
        </w:rPr>
        <w:t xml:space="preserve">de gouvernance de tête </w:t>
      </w:r>
      <w:r w:rsidRPr="00F0728A">
        <w:rPr>
          <w:rFonts w:ascii="Times New Roman" w:hAnsi="Times New Roman"/>
          <w:b/>
          <w:spacing w:val="1"/>
          <w:sz w:val="24"/>
          <w:szCs w:val="24"/>
        </w:rPr>
        <w:t xml:space="preserve">qui définit la stratégie de l’entreprise </w:t>
      </w:r>
      <w:r>
        <w:rPr>
          <w:rFonts w:ascii="Times New Roman" w:hAnsi="Times New Roman"/>
          <w:b/>
          <w:spacing w:val="1"/>
          <w:sz w:val="24"/>
          <w:szCs w:val="24"/>
        </w:rPr>
        <w:t>(conseil d’administration ou conseil de surveillance)</w:t>
      </w:r>
    </w:p>
    <w:p w:rsidR="006A416F" w:rsidRPr="00F0728A" w:rsidRDefault="006A416F">
      <w:pPr>
        <w:spacing w:after="0"/>
        <w:jc w:val="both"/>
        <w:rPr>
          <w:rFonts w:ascii="Times New Roman" w:hAnsi="Times New Roman"/>
          <w:b/>
          <w:spacing w:val="1"/>
          <w:sz w:val="24"/>
          <w:szCs w:val="24"/>
        </w:rPr>
      </w:pPr>
    </w:p>
    <w:p w:rsidR="006A416F" w:rsidRPr="00F0728A" w:rsidRDefault="006A416F">
      <w:pPr>
        <w:spacing w:after="0"/>
        <w:jc w:val="both"/>
        <w:rPr>
          <w:rFonts w:ascii="Times New Roman" w:hAnsi="Times New Roman"/>
          <w:spacing w:val="1"/>
          <w:sz w:val="24"/>
          <w:szCs w:val="24"/>
        </w:rPr>
      </w:pPr>
      <w:r w:rsidRPr="00F0728A">
        <w:rPr>
          <w:rFonts w:ascii="Times New Roman" w:hAnsi="Times New Roman"/>
          <w:spacing w:val="1"/>
          <w:sz w:val="24"/>
          <w:szCs w:val="24"/>
        </w:rPr>
        <w:t>Afin de favoriser la prise en compte du point de vue des salariés sur la stratégie de l’entreprise, leur participation avec voix délibérative à  l’organe de l’entreprise qui définit cette stratégie doit être assurée (avec les mêmes règles de confidentialité que celles appliquées aux autres participants) dans les entrep</w:t>
      </w:r>
      <w:r>
        <w:rPr>
          <w:rFonts w:ascii="Times New Roman" w:hAnsi="Times New Roman"/>
          <w:spacing w:val="1"/>
          <w:sz w:val="24"/>
          <w:szCs w:val="24"/>
        </w:rPr>
        <w:t xml:space="preserve">rises dont les effectifs totaux, appréciés à l’échelle mondiale, </w:t>
      </w:r>
      <w:r w:rsidRPr="00F0728A">
        <w:rPr>
          <w:rFonts w:ascii="Times New Roman" w:hAnsi="Times New Roman"/>
          <w:spacing w:val="1"/>
          <w:sz w:val="24"/>
          <w:szCs w:val="24"/>
        </w:rPr>
        <w:t>sont au moins égaux à 1</w:t>
      </w:r>
      <w:r>
        <w:rPr>
          <w:rFonts w:ascii="Times New Roman" w:hAnsi="Times New Roman"/>
          <w:spacing w:val="1"/>
          <w:sz w:val="24"/>
          <w:szCs w:val="24"/>
        </w:rPr>
        <w:t>0</w:t>
      </w:r>
      <w:r w:rsidRPr="00F0728A">
        <w:rPr>
          <w:rFonts w:ascii="Times New Roman" w:hAnsi="Times New Roman"/>
          <w:spacing w:val="1"/>
          <w:sz w:val="24"/>
          <w:szCs w:val="24"/>
        </w:rPr>
        <w:t xml:space="preserve"> 000 salariés</w:t>
      </w:r>
      <w:r>
        <w:rPr>
          <w:rFonts w:ascii="Times New Roman" w:hAnsi="Times New Roman"/>
          <w:spacing w:val="1"/>
          <w:sz w:val="24"/>
          <w:szCs w:val="24"/>
        </w:rPr>
        <w:t xml:space="preserve"> ou à 5 000 appréciés à l’échelle de la France</w:t>
      </w:r>
      <w:r w:rsidRPr="00F0728A">
        <w:rPr>
          <w:rFonts w:ascii="Times New Roman" w:hAnsi="Times New Roman"/>
          <w:spacing w:val="1"/>
          <w:sz w:val="24"/>
          <w:szCs w:val="24"/>
        </w:rPr>
        <w:t>.</w:t>
      </w:r>
    </w:p>
    <w:p w:rsidR="006A416F" w:rsidRPr="00F0728A" w:rsidRDefault="006A416F">
      <w:pPr>
        <w:spacing w:after="0"/>
        <w:jc w:val="both"/>
        <w:rPr>
          <w:rFonts w:ascii="Times New Roman" w:hAnsi="Times New Roman"/>
          <w:spacing w:val="1"/>
          <w:sz w:val="24"/>
          <w:szCs w:val="24"/>
        </w:rPr>
      </w:pPr>
    </w:p>
    <w:p w:rsidR="006A416F" w:rsidRPr="00F0728A" w:rsidRDefault="006A416F">
      <w:pPr>
        <w:spacing w:after="0"/>
        <w:jc w:val="both"/>
        <w:rPr>
          <w:rFonts w:ascii="Times New Roman" w:hAnsi="Times New Roman"/>
          <w:spacing w:val="1"/>
          <w:sz w:val="24"/>
          <w:szCs w:val="24"/>
        </w:rPr>
      </w:pPr>
      <w:r w:rsidRPr="00F0728A">
        <w:rPr>
          <w:rFonts w:ascii="Times New Roman" w:hAnsi="Times New Roman"/>
          <w:spacing w:val="1"/>
          <w:sz w:val="24"/>
          <w:szCs w:val="24"/>
        </w:rPr>
        <w:t>Les entreprises qui n’auraient pas déjà des salariés administrateurs disposeront de 26 mois pour mettre en place une telle représentation dont les modalités devront être au préalable approuvées par l’Assemblée Générale.</w:t>
      </w:r>
    </w:p>
    <w:p w:rsidR="006A416F" w:rsidRPr="00F0728A" w:rsidRDefault="006A416F">
      <w:pPr>
        <w:spacing w:after="0"/>
        <w:jc w:val="both"/>
        <w:rPr>
          <w:rFonts w:ascii="Times New Roman" w:hAnsi="Times New Roman"/>
          <w:spacing w:val="1"/>
          <w:sz w:val="24"/>
          <w:szCs w:val="24"/>
        </w:rPr>
      </w:pPr>
    </w:p>
    <w:p w:rsidR="006A416F" w:rsidRPr="00F0728A" w:rsidRDefault="006A416F">
      <w:pPr>
        <w:spacing w:after="0"/>
        <w:jc w:val="both"/>
        <w:rPr>
          <w:rFonts w:ascii="Times New Roman" w:hAnsi="Times New Roman"/>
          <w:spacing w:val="1"/>
          <w:sz w:val="24"/>
          <w:szCs w:val="24"/>
        </w:rPr>
      </w:pPr>
      <w:r w:rsidRPr="00F0728A">
        <w:rPr>
          <w:rFonts w:ascii="Times New Roman" w:hAnsi="Times New Roman"/>
          <w:spacing w:val="1"/>
          <w:sz w:val="24"/>
          <w:szCs w:val="24"/>
        </w:rPr>
        <w:t>Le nombre de représentants des salariés sera égal à deux dans les entreprises dont le nombre d’administrateurs est supérieur à douze et à un dans les autres cas.</w:t>
      </w:r>
    </w:p>
    <w:p w:rsidR="006A416F" w:rsidRPr="00F0728A" w:rsidRDefault="006A416F">
      <w:pPr>
        <w:spacing w:after="0"/>
        <w:jc w:val="both"/>
        <w:rPr>
          <w:rFonts w:ascii="Times New Roman" w:hAnsi="Times New Roman"/>
          <w:spacing w:val="1"/>
          <w:sz w:val="24"/>
          <w:szCs w:val="24"/>
        </w:rPr>
      </w:pPr>
    </w:p>
    <w:p w:rsidR="006A416F" w:rsidRPr="00F0728A" w:rsidRDefault="006A416F">
      <w:pPr>
        <w:spacing w:after="0"/>
        <w:jc w:val="both"/>
        <w:rPr>
          <w:rFonts w:ascii="Times New Roman" w:hAnsi="Times New Roman"/>
          <w:spacing w:val="1"/>
          <w:sz w:val="24"/>
          <w:szCs w:val="24"/>
        </w:rPr>
      </w:pPr>
      <w:r w:rsidRPr="00F0728A">
        <w:rPr>
          <w:rFonts w:ascii="Times New Roman" w:hAnsi="Times New Roman"/>
          <w:spacing w:val="1"/>
          <w:sz w:val="24"/>
          <w:szCs w:val="24"/>
        </w:rPr>
        <w:t>Les salariés administrateurs auront le même statut que les autres administrateurs. Leur fonction sera incompatible avec celle de membre du CE, du CHSCT, de délégué du personnel ou de délégué syndical.</w:t>
      </w:r>
    </w:p>
    <w:p w:rsidR="006A416F" w:rsidRPr="00F0728A" w:rsidRDefault="006A416F">
      <w:pPr>
        <w:spacing w:after="0"/>
        <w:jc w:val="both"/>
        <w:rPr>
          <w:rFonts w:ascii="Times New Roman" w:hAnsi="Times New Roman"/>
          <w:spacing w:val="-4"/>
          <w:w w:val="105"/>
          <w:sz w:val="24"/>
          <w:szCs w:val="24"/>
        </w:rPr>
      </w:pPr>
    </w:p>
    <w:p w:rsidR="006A416F" w:rsidRPr="00F0728A" w:rsidRDefault="006A416F">
      <w:pPr>
        <w:spacing w:after="0"/>
        <w:jc w:val="both"/>
        <w:rPr>
          <w:rFonts w:ascii="Times New Roman" w:hAnsi="Times New Roman"/>
          <w:spacing w:val="-4"/>
          <w:w w:val="105"/>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14</w:t>
      </w:r>
      <w:r w:rsidRPr="00F0728A">
        <w:rPr>
          <w:rFonts w:ascii="Times New Roman" w:hAnsi="Times New Roman"/>
          <w:b/>
          <w:sz w:val="24"/>
          <w:szCs w:val="24"/>
        </w:rPr>
        <w:t xml:space="preserve"> - Articulation de la négociation sur la gestion prévisionnelle des emplois et des compétences et du plan de formation</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Encore méconnue dans certains cas ou souvent controversée, la GPEC est avant tout un outil d’anticipation qui peut, si l’on en fait bon usage, concilier besoins de performance des entreprises, aspirations des salariés et sécurisation de l’emploi. En outre, la GPEC installe un nouvel état d’esprit de dialogue entre la direction et les IRP. Un accord GPEC doit accompagner la vision stratégique à moyen et long terme de l’entreprise et contribuer à l’évolution de la carrière des salariés, notamment à travers la formation. </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1/</w:t>
      </w:r>
      <w:r w:rsidRPr="00F0728A">
        <w:rPr>
          <w:rFonts w:ascii="Times New Roman" w:hAnsi="Times New Roman"/>
          <w:sz w:val="24"/>
          <w:szCs w:val="24"/>
        </w:rPr>
        <w:t xml:space="preserve"> Prenant appui sur les informations disponibles dans la base de données unique visée à l’article 11 ci-dessus, la négociation visée à l’article L.2242-15 du code du travail est étendue à la mise en perspective des parcours professionnels.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Outre les éléments déjà prévus par ledit article, cette négociation inclut :</w:t>
      </w:r>
    </w:p>
    <w:p w:rsidR="006A416F" w:rsidRPr="0082365E" w:rsidRDefault="006A416F" w:rsidP="0082365E">
      <w:pPr>
        <w:pStyle w:val="ListParagraph"/>
        <w:numPr>
          <w:ilvl w:val="0"/>
          <w:numId w:val="6"/>
        </w:numPr>
        <w:spacing w:after="0"/>
        <w:jc w:val="both"/>
        <w:rPr>
          <w:rFonts w:ascii="Times New Roman" w:hAnsi="Times New Roman"/>
          <w:sz w:val="24"/>
          <w:szCs w:val="24"/>
        </w:rPr>
      </w:pPr>
      <w:r w:rsidRPr="00F0728A">
        <w:rPr>
          <w:rFonts w:ascii="Times New Roman" w:hAnsi="Times New Roman"/>
          <w:sz w:val="24"/>
          <w:szCs w:val="24"/>
        </w:rPr>
        <w:t>les grandes orientations du plan de formation</w:t>
      </w:r>
      <w:r>
        <w:rPr>
          <w:rFonts w:ascii="Times New Roman" w:hAnsi="Times New Roman"/>
          <w:sz w:val="24"/>
          <w:szCs w:val="24"/>
        </w:rPr>
        <w:t> ;</w:t>
      </w:r>
    </w:p>
    <w:p w:rsidR="006A416F" w:rsidRPr="0082365E" w:rsidRDefault="006A416F" w:rsidP="0082365E">
      <w:pPr>
        <w:pStyle w:val="ListParagraph"/>
        <w:numPr>
          <w:ilvl w:val="0"/>
          <w:numId w:val="6"/>
        </w:numPr>
        <w:spacing w:after="0"/>
        <w:jc w:val="both"/>
        <w:rPr>
          <w:rFonts w:ascii="Times New Roman" w:hAnsi="Times New Roman"/>
          <w:sz w:val="24"/>
          <w:szCs w:val="24"/>
        </w:rPr>
      </w:pPr>
      <w:r w:rsidRPr="00F0728A">
        <w:rPr>
          <w:rFonts w:ascii="Times New Roman" w:hAnsi="Times New Roman"/>
          <w:sz w:val="24"/>
          <w:szCs w:val="24"/>
        </w:rPr>
        <w:t>les perspectives d’utilisation des différentes formes de contrat de travail</w:t>
      </w:r>
      <w:r>
        <w:rPr>
          <w:rFonts w:ascii="Times New Roman" w:hAnsi="Times New Roman"/>
          <w:sz w:val="24"/>
          <w:szCs w:val="24"/>
        </w:rPr>
        <w:t> ;</w:t>
      </w:r>
    </w:p>
    <w:p w:rsidR="006A416F" w:rsidRDefault="006A416F">
      <w:pPr>
        <w:pStyle w:val="ListParagraph"/>
        <w:numPr>
          <w:ilvl w:val="0"/>
          <w:numId w:val="6"/>
        </w:numPr>
        <w:spacing w:after="0"/>
        <w:jc w:val="both"/>
        <w:rPr>
          <w:rFonts w:ascii="Times New Roman" w:hAnsi="Times New Roman"/>
          <w:sz w:val="24"/>
          <w:szCs w:val="24"/>
        </w:rPr>
      </w:pPr>
      <w:r w:rsidRPr="00F0728A">
        <w:rPr>
          <w:rFonts w:ascii="Times New Roman" w:hAnsi="Times New Roman"/>
          <w:sz w:val="24"/>
          <w:szCs w:val="24"/>
        </w:rPr>
        <w:t>les contrats de génération, pour les entreprises et groupes d’entreprises visés à l’article 1 de l’accord national interprofessionnel du 19 octobre 2012 relatif aux contrats de génération</w:t>
      </w:r>
      <w:r>
        <w:rPr>
          <w:rFonts w:ascii="Times New Roman" w:hAnsi="Times New Roman"/>
          <w:sz w:val="24"/>
          <w:szCs w:val="24"/>
        </w:rPr>
        <w:t>,</w:t>
      </w:r>
    </w:p>
    <w:p w:rsidR="006A416F" w:rsidRPr="00F0728A" w:rsidRDefault="006A416F">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la mobilité interne visée à l’article 14 ci-après</w:t>
      </w:r>
      <w:r w:rsidRPr="00F0728A">
        <w:rPr>
          <w:rFonts w:ascii="Times New Roman" w:hAnsi="Times New Roman"/>
          <w:sz w:val="24"/>
          <w:szCs w:val="24"/>
        </w:rPr>
        <w:t>.</w:t>
      </w:r>
    </w:p>
    <w:p w:rsidR="006A416F" w:rsidRPr="0082365E" w:rsidRDefault="006A416F" w:rsidP="0082365E">
      <w:pPr>
        <w:spacing w:after="0"/>
        <w:ind w:left="36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2/</w:t>
      </w:r>
      <w:r w:rsidRPr="00F0728A">
        <w:rPr>
          <w:rFonts w:ascii="Times New Roman" w:hAnsi="Times New Roman"/>
          <w:sz w:val="24"/>
          <w:szCs w:val="24"/>
        </w:rPr>
        <w:t xml:space="preserve"> La consultation annuelle du comité d’entreprise sur les orientations annuelles du plan de formation sera l’occasion de s’assurer que ces orientations sont établies en cohérence avec le dispositif de gestion prévisionnelle des emplois et des compétences mis en place en application de l’article L. 2242-15.</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3/</w:t>
      </w:r>
      <w:r w:rsidRPr="00F0728A">
        <w:rPr>
          <w:rFonts w:ascii="Times New Roman" w:hAnsi="Times New Roman"/>
          <w:sz w:val="24"/>
          <w:szCs w:val="24"/>
        </w:rPr>
        <w:t xml:space="preserve"> Les branches professionnelles ou les entreprises mettront en place les dispositifs adaptés pour permettre aux sous-traitants, dont l’activité dépend majoritairement du donneur d’ordre, d’anticiper les évolutions résultant des options prises par ce dernier. A cet effet, elles s’attacheront à une meilleure information des sous-traitants par les donneurs d’ordres qui pourront associer en partie ceux-ci à leur GPEC.</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 xml:space="preserve">4/ </w:t>
      </w:r>
      <w:r w:rsidRPr="00F0728A">
        <w:rPr>
          <w:rFonts w:ascii="Times New Roman" w:hAnsi="Times New Roman"/>
          <w:sz w:val="24"/>
          <w:szCs w:val="24"/>
        </w:rPr>
        <w:t>les parties signataires attirent l’attention des entreprises dotées de délégués syndicaux, non assujetties aux dispositions de l’article L.2242-15 du code du travail, sur l’intérêt qui s’attache, tant pour elles que pour leurs salariés, à l’ouverture de négociations telles que celles prévues audit article.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 xml:space="preserve">5/ </w:t>
      </w:r>
      <w:r w:rsidRPr="00F0728A">
        <w:rPr>
          <w:rFonts w:ascii="Times New Roman" w:hAnsi="Times New Roman"/>
          <w:sz w:val="24"/>
          <w:szCs w:val="24"/>
        </w:rPr>
        <w:t xml:space="preserve">Au niveau territorial, les organisations syndicales représentatives de salariés et d’employeurs s’attacheront à entretenir un dialogue social actif destiné mettre à la disposition des TPE et des PME les informations susceptibles de leur être utiles en matière d’évolution de l’emploi et des besoins de compétences.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15</w:t>
      </w:r>
      <w:r w:rsidRPr="00F0728A">
        <w:rPr>
          <w:rFonts w:ascii="Times New Roman" w:hAnsi="Times New Roman"/>
          <w:b/>
          <w:sz w:val="24"/>
          <w:szCs w:val="24"/>
        </w:rPr>
        <w:t xml:space="preserve"> – Mobilité interne</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La mobilité interne s’entend de la mise en œuvre des mesures collectives d’organisation courantes dans l’entreprise, ne comportant pas de réduction d’effectifs et se traduisant notamment par des changements de poste ou de lieux de travail au sein de la même entreprise.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L’organisation de cette mobilité interne fait l’objet, dans les entreprises dotées de délégués syndicaux, d’une négociation triennale..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Dans les entreprises assujetties à l’article L 224</w:t>
      </w:r>
      <w:r>
        <w:rPr>
          <w:rFonts w:ascii="Times New Roman" w:hAnsi="Times New Roman"/>
          <w:sz w:val="24"/>
          <w:szCs w:val="24"/>
        </w:rPr>
        <w:t>2</w:t>
      </w:r>
      <w:r w:rsidRPr="00F0728A">
        <w:rPr>
          <w:rFonts w:ascii="Times New Roman" w:hAnsi="Times New Roman"/>
          <w:sz w:val="24"/>
          <w:szCs w:val="24"/>
        </w:rPr>
        <w:t xml:space="preserve">-15 du code du travail, elle intervient dans le cadre de la négociation prévue audit article.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La négociation prévue ci-dessus doit porter sur les conditions de mobilité professionnelle ou géographique interne à l’entreprise. Elle comporte notamment : </w:t>
      </w:r>
    </w:p>
    <w:p w:rsidR="006A416F" w:rsidRPr="00F0728A" w:rsidRDefault="006A416F">
      <w:pPr>
        <w:spacing w:after="0"/>
        <w:jc w:val="both"/>
        <w:rPr>
          <w:rFonts w:ascii="Times New Roman" w:hAnsi="Times New Roman"/>
          <w:sz w:val="24"/>
          <w:szCs w:val="24"/>
        </w:rPr>
      </w:pP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 xml:space="preserve">les mesures d’accompagnement à la mobilité des salariés, en particulier en termes de formation et d’aides à la mobilité géographique ; </w:t>
      </w:r>
    </w:p>
    <w:p w:rsidR="006A416F"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les limites imposées à cette mobilité</w:t>
      </w:r>
      <w:r>
        <w:rPr>
          <w:rFonts w:ascii="Times New Roman" w:hAnsi="Times New Roman"/>
          <w:sz w:val="24"/>
          <w:szCs w:val="24"/>
        </w:rPr>
        <w:t xml:space="preserve"> au-delà de la zone géographique de son emploi, telle qu’également précisée par l’accord,</w:t>
      </w:r>
    </w:p>
    <w:p w:rsidR="006A416F" w:rsidRPr="00F0728A" w:rsidRDefault="006A416F">
      <w:pPr>
        <w:pStyle w:val="ListParagraph"/>
        <w:numPr>
          <w:ilvl w:val="0"/>
          <w:numId w:val="18"/>
        </w:numPr>
        <w:spacing w:after="0"/>
        <w:jc w:val="both"/>
        <w:rPr>
          <w:rFonts w:ascii="Times New Roman" w:hAnsi="Times New Roman"/>
          <w:sz w:val="24"/>
          <w:szCs w:val="24"/>
        </w:rPr>
      </w:pPr>
      <w:r>
        <w:rPr>
          <w:rFonts w:ascii="Times New Roman" w:hAnsi="Times New Roman"/>
          <w:sz w:val="24"/>
          <w:szCs w:val="24"/>
        </w:rPr>
        <w:t>des dispositions visant à prendre en compte la conciliation de la vie professionnelle et de la vie familiale</w:t>
      </w:r>
      <w:r w:rsidRPr="00F0728A">
        <w:rPr>
          <w:rFonts w:ascii="Times New Roman" w:hAnsi="Times New Roman"/>
          <w:sz w:val="24"/>
          <w:szCs w:val="24"/>
        </w:rPr>
        <w:t xml:space="preserve">. </w:t>
      </w:r>
    </w:p>
    <w:p w:rsidR="006A416F" w:rsidRPr="00FC7ECD" w:rsidRDefault="006A416F" w:rsidP="00FC7ECD">
      <w:pPr>
        <w:spacing w:after="0"/>
        <w:ind w:left="36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Les mobilités envisagées ne peuvent en aucun cas entraîner une diminution du niveau de rémunération ou de la classification personnelle du salarié, et doivent garantir le maintien ou l’amélioration de sa qualification professionnelle.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Le refus par un salarié d’une modification de son contrat proposée dans les conditions définies au présent article n’entraîne pas son licenciement pour motif économique. Il s’agit d’un licenciement pour motif personnel ouvrant droit à </w:t>
      </w:r>
      <w:r>
        <w:rPr>
          <w:rFonts w:ascii="Times New Roman" w:hAnsi="Times New Roman"/>
          <w:sz w:val="24"/>
          <w:szCs w:val="24"/>
        </w:rPr>
        <w:t>des mesures de reclassement telles qu</w:t>
      </w:r>
      <w:r w:rsidRPr="00F0728A">
        <w:rPr>
          <w:rFonts w:ascii="Times New Roman" w:hAnsi="Times New Roman"/>
          <w:sz w:val="24"/>
          <w:szCs w:val="24"/>
        </w:rPr>
        <w:t>un bilan de compétence</w:t>
      </w:r>
      <w:r>
        <w:rPr>
          <w:rFonts w:ascii="Times New Roman" w:hAnsi="Times New Roman"/>
          <w:sz w:val="24"/>
          <w:szCs w:val="24"/>
        </w:rPr>
        <w:t xml:space="preserve"> ou un abondement du compte personnel de formation</w:t>
      </w:r>
      <w:r w:rsidRPr="00F0728A">
        <w:rPr>
          <w:rFonts w:ascii="Times New Roman" w:hAnsi="Times New Roman"/>
          <w:sz w:val="24"/>
          <w:szCs w:val="24"/>
        </w:rPr>
        <w:t xml:space="preserve">.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bCs/>
          <w:spacing w:val="-5"/>
          <w:w w:val="105"/>
          <w:sz w:val="24"/>
          <w:szCs w:val="24"/>
        </w:rPr>
      </w:pPr>
      <w:r w:rsidRPr="00DE4F83">
        <w:rPr>
          <w:rFonts w:ascii="Times New Roman" w:hAnsi="Times New Roman"/>
          <w:b/>
          <w:bCs/>
          <w:spacing w:val="-5"/>
          <w:w w:val="105"/>
          <w:sz w:val="24"/>
          <w:szCs w:val="24"/>
          <w:u w:val="single"/>
        </w:rPr>
        <w:t xml:space="preserve">Article </w:t>
      </w:r>
      <w:r>
        <w:rPr>
          <w:rFonts w:ascii="Times New Roman" w:hAnsi="Times New Roman"/>
          <w:b/>
          <w:bCs/>
          <w:spacing w:val="-5"/>
          <w:w w:val="105"/>
          <w:sz w:val="24"/>
          <w:szCs w:val="24"/>
          <w:u w:val="single"/>
        </w:rPr>
        <w:t>16</w:t>
      </w:r>
      <w:r w:rsidRPr="00F0728A">
        <w:rPr>
          <w:rFonts w:ascii="Times New Roman" w:hAnsi="Times New Roman"/>
          <w:b/>
          <w:bCs/>
          <w:spacing w:val="-5"/>
          <w:w w:val="105"/>
          <w:sz w:val="24"/>
          <w:szCs w:val="24"/>
        </w:rPr>
        <w:t xml:space="preserve"> - Création d’un conseil en évolution professionnelle</w:t>
      </w:r>
    </w:p>
    <w:p w:rsidR="006A416F" w:rsidRPr="00F0728A" w:rsidRDefault="006A416F">
      <w:pPr>
        <w:spacing w:after="0"/>
        <w:jc w:val="both"/>
        <w:rPr>
          <w:rFonts w:ascii="Times New Roman" w:hAnsi="Times New Roman"/>
          <w:b/>
          <w:bCs/>
          <w:spacing w:val="-5"/>
          <w:w w:val="105"/>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1"/>
          <w:sz w:val="24"/>
          <w:szCs w:val="24"/>
        </w:rPr>
        <w:t xml:space="preserve">Pour permettre l’accès de tous les salariés, notamment des salariés des TPE PME, à </w:t>
      </w:r>
      <w:r w:rsidRPr="00F0728A">
        <w:rPr>
          <w:rFonts w:ascii="Times New Roman" w:hAnsi="Times New Roman"/>
          <w:spacing w:val="2"/>
          <w:sz w:val="24"/>
          <w:szCs w:val="24"/>
        </w:rPr>
        <w:t xml:space="preserve">un conseil en évolution professionnelle, en dehors de l’entreprise, </w:t>
      </w:r>
      <w:r w:rsidRPr="00F0728A">
        <w:rPr>
          <w:rFonts w:ascii="Times New Roman" w:hAnsi="Times New Roman"/>
          <w:bCs/>
          <w:spacing w:val="2"/>
          <w:w w:val="105"/>
          <w:sz w:val="24"/>
          <w:szCs w:val="24"/>
        </w:rPr>
        <w:t xml:space="preserve">une offre de </w:t>
      </w:r>
      <w:r w:rsidRPr="00F0728A">
        <w:rPr>
          <w:rFonts w:ascii="Times New Roman" w:hAnsi="Times New Roman"/>
          <w:bCs/>
          <w:spacing w:val="-4"/>
          <w:w w:val="105"/>
          <w:sz w:val="24"/>
          <w:szCs w:val="24"/>
        </w:rPr>
        <w:t>service d'accompagnement</w:t>
      </w:r>
      <w:r w:rsidRPr="00F0728A">
        <w:rPr>
          <w:rFonts w:ascii="Times New Roman" w:hAnsi="Times New Roman"/>
          <w:spacing w:val="-4"/>
          <w:sz w:val="24"/>
          <w:szCs w:val="24"/>
        </w:rPr>
        <w:t xml:space="preserve"> claire, lisible et de proximité est proposée aux salariés, </w:t>
      </w:r>
      <w:r w:rsidRPr="00F0728A">
        <w:rPr>
          <w:rFonts w:ascii="Times New Roman" w:hAnsi="Times New Roman"/>
          <w:sz w:val="24"/>
          <w:szCs w:val="24"/>
        </w:rPr>
        <w:t>visant l'évolution et la sécurisation professionnelle.</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Cette information/conseil doit permettre au salarié :</w:t>
      </w:r>
    </w:p>
    <w:p w:rsidR="006A416F" w:rsidRPr="00F0728A" w:rsidRDefault="006A416F">
      <w:pPr>
        <w:pStyle w:val="ListParagraph"/>
        <w:numPr>
          <w:ilvl w:val="0"/>
          <w:numId w:val="20"/>
        </w:numPr>
        <w:spacing w:after="0"/>
        <w:ind w:right="144"/>
        <w:jc w:val="both"/>
        <w:rPr>
          <w:rFonts w:ascii="Times New Roman" w:hAnsi="Times New Roman"/>
          <w:sz w:val="24"/>
          <w:szCs w:val="24"/>
        </w:rPr>
      </w:pPr>
      <w:r w:rsidRPr="00F0728A">
        <w:rPr>
          <w:rFonts w:ascii="Times New Roman" w:hAnsi="Times New Roman"/>
          <w:spacing w:val="-1"/>
          <w:sz w:val="24"/>
          <w:szCs w:val="24"/>
        </w:rPr>
        <w:t xml:space="preserve">d’être mieux informé sur son environnement professionnel (évolution des </w:t>
      </w:r>
      <w:r w:rsidRPr="00F0728A">
        <w:rPr>
          <w:rFonts w:ascii="Times New Roman" w:hAnsi="Times New Roman"/>
          <w:sz w:val="24"/>
          <w:szCs w:val="24"/>
        </w:rPr>
        <w:t>métiers sur les territoires...),</w:t>
      </w:r>
    </w:p>
    <w:p w:rsidR="006A416F" w:rsidRPr="00F0728A" w:rsidRDefault="006A416F">
      <w:pPr>
        <w:pStyle w:val="ListParagraph"/>
        <w:numPr>
          <w:ilvl w:val="0"/>
          <w:numId w:val="20"/>
        </w:numPr>
        <w:spacing w:after="0"/>
        <w:ind w:right="144"/>
        <w:jc w:val="both"/>
        <w:rPr>
          <w:rFonts w:ascii="Times New Roman" w:hAnsi="Times New Roman"/>
          <w:sz w:val="24"/>
          <w:szCs w:val="24"/>
        </w:rPr>
      </w:pPr>
      <w:r w:rsidRPr="00F0728A">
        <w:rPr>
          <w:rFonts w:ascii="Times New Roman" w:hAnsi="Times New Roman"/>
          <w:spacing w:val="-3"/>
          <w:sz w:val="24"/>
          <w:szCs w:val="24"/>
        </w:rPr>
        <w:t xml:space="preserve">de mieux connaître ses compétences, pouvoir les valoriser et identifier les </w:t>
      </w:r>
      <w:r w:rsidRPr="00F0728A">
        <w:rPr>
          <w:rFonts w:ascii="Times New Roman" w:hAnsi="Times New Roman"/>
          <w:sz w:val="24"/>
          <w:szCs w:val="24"/>
        </w:rPr>
        <w:t>compétences nécessaires à acquérir,</w:t>
      </w:r>
    </w:p>
    <w:p w:rsidR="006A416F" w:rsidRPr="00F0728A" w:rsidRDefault="006A416F">
      <w:pPr>
        <w:pStyle w:val="ListParagraph"/>
        <w:numPr>
          <w:ilvl w:val="0"/>
          <w:numId w:val="20"/>
        </w:numPr>
        <w:spacing w:after="0"/>
        <w:jc w:val="both"/>
        <w:rPr>
          <w:rFonts w:ascii="Times New Roman" w:hAnsi="Times New Roman"/>
          <w:spacing w:val="1"/>
          <w:sz w:val="24"/>
          <w:szCs w:val="24"/>
        </w:rPr>
      </w:pPr>
      <w:r w:rsidRPr="00F0728A">
        <w:rPr>
          <w:rFonts w:ascii="Times New Roman" w:hAnsi="Times New Roman"/>
          <w:spacing w:val="1"/>
          <w:sz w:val="24"/>
          <w:szCs w:val="24"/>
        </w:rPr>
        <w:t>de repérer des offres d’emploi adaptées à ses compétences.</w:t>
      </w:r>
    </w:p>
    <w:p w:rsidR="006A416F" w:rsidRPr="00F85746" w:rsidRDefault="006A416F" w:rsidP="00F85746">
      <w:pPr>
        <w:spacing w:after="0"/>
        <w:ind w:left="360"/>
        <w:jc w:val="both"/>
        <w:rPr>
          <w:rFonts w:ascii="Times New Roman" w:hAnsi="Times New Roman"/>
          <w:spacing w:val="1"/>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3"/>
          <w:sz w:val="24"/>
          <w:szCs w:val="24"/>
        </w:rPr>
        <w:t xml:space="preserve">Pour assurer l’effectivité de ce droit au conseil à l’évolution professionnelle, tout </w:t>
      </w:r>
      <w:r w:rsidRPr="00F0728A">
        <w:rPr>
          <w:rFonts w:ascii="Times New Roman" w:hAnsi="Times New Roman"/>
          <w:sz w:val="24"/>
          <w:szCs w:val="24"/>
        </w:rPr>
        <w:t>salarié bénéficie :</w:t>
      </w: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7"/>
          <w:sz w:val="24"/>
          <w:szCs w:val="24"/>
        </w:rPr>
        <w:t>- de la possibilité d’utiliser son compte personnel de formation pour accéder</w:t>
      </w:r>
      <w:r w:rsidRPr="00F0728A">
        <w:rPr>
          <w:rFonts w:ascii="Times New Roman" w:hAnsi="Times New Roman"/>
          <w:sz w:val="24"/>
          <w:szCs w:val="24"/>
        </w:rPr>
        <w:t xml:space="preserve"> à ce conseil en évolution professionnelle,</w:t>
      </w: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2"/>
          <w:sz w:val="24"/>
          <w:szCs w:val="24"/>
        </w:rPr>
        <w:t xml:space="preserve">- d’un droit à l’information sur l’existence de ce service et sur les possibilités d’y </w:t>
      </w:r>
      <w:r w:rsidRPr="00F0728A">
        <w:rPr>
          <w:rFonts w:ascii="Times New Roman" w:hAnsi="Times New Roman"/>
          <w:sz w:val="24"/>
          <w:szCs w:val="24"/>
        </w:rPr>
        <w:t>accéder.</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2"/>
          <w:sz w:val="24"/>
          <w:szCs w:val="24"/>
        </w:rPr>
        <w:t xml:space="preserve">Pour que tous les salariés puissent effectivement accéder à ce service, il devra être </w:t>
      </w:r>
      <w:r w:rsidRPr="00F0728A">
        <w:rPr>
          <w:rFonts w:ascii="Times New Roman" w:hAnsi="Times New Roman"/>
          <w:spacing w:val="4"/>
          <w:sz w:val="24"/>
          <w:szCs w:val="24"/>
        </w:rPr>
        <w:t xml:space="preserve">proposé sur chaque territoire, grâce à la coordination des opérateurs publics et </w:t>
      </w:r>
      <w:r w:rsidRPr="00F0728A">
        <w:rPr>
          <w:rFonts w:ascii="Times New Roman" w:hAnsi="Times New Roman"/>
          <w:sz w:val="24"/>
          <w:szCs w:val="24"/>
        </w:rPr>
        <w:t>paritaires existants sur l’orientation, la formation et l’emploi.</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3"/>
          <w:sz w:val="24"/>
          <w:szCs w:val="24"/>
        </w:rPr>
        <w:t xml:space="preserve">L’articulation avec les pouvoirs publics et les dispositifs tels que le service public de </w:t>
      </w:r>
      <w:r w:rsidRPr="00F0728A">
        <w:rPr>
          <w:rFonts w:ascii="Times New Roman" w:hAnsi="Times New Roman"/>
          <w:spacing w:val="3"/>
          <w:sz w:val="24"/>
          <w:szCs w:val="24"/>
        </w:rPr>
        <w:t xml:space="preserve">l’orientation, devra être discutée avec l’ensemble des interlocuteurs concernés, </w:t>
      </w:r>
      <w:r w:rsidRPr="00F0728A">
        <w:rPr>
          <w:rFonts w:ascii="Times New Roman" w:hAnsi="Times New Roman"/>
          <w:sz w:val="24"/>
          <w:szCs w:val="24"/>
        </w:rPr>
        <w:t>notamment dans le cadre du débat sur la décentralisation.</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4"/>
          <w:sz w:val="24"/>
          <w:szCs w:val="24"/>
        </w:rPr>
        <w:t xml:space="preserve">Dans l’attente, et dans l’objectif d’assurer la réelle effectivité de ce service, les </w:t>
      </w:r>
      <w:r w:rsidRPr="00F0728A">
        <w:rPr>
          <w:rFonts w:ascii="Times New Roman" w:hAnsi="Times New Roman"/>
          <w:spacing w:val="2"/>
          <w:sz w:val="24"/>
          <w:szCs w:val="24"/>
        </w:rPr>
        <w:t>partenaires sociaux s’engagent à entamer</w:t>
      </w:r>
      <w:r>
        <w:rPr>
          <w:rFonts w:ascii="Times New Roman" w:hAnsi="Times New Roman"/>
          <w:spacing w:val="2"/>
          <w:sz w:val="24"/>
          <w:szCs w:val="24"/>
        </w:rPr>
        <w:t>,</w:t>
      </w:r>
      <w:r w:rsidRPr="00F0728A">
        <w:rPr>
          <w:rFonts w:ascii="Times New Roman" w:hAnsi="Times New Roman"/>
          <w:spacing w:val="2"/>
          <w:sz w:val="24"/>
          <w:szCs w:val="24"/>
        </w:rPr>
        <w:t xml:space="preserve"> </w:t>
      </w:r>
      <w:r>
        <w:rPr>
          <w:rFonts w:ascii="Times New Roman" w:hAnsi="Times New Roman"/>
          <w:spacing w:val="2"/>
          <w:sz w:val="24"/>
          <w:szCs w:val="24"/>
        </w:rPr>
        <w:t xml:space="preserve">dans les deux mois de l’entrée en vigueur de l’accord, </w:t>
      </w:r>
      <w:r w:rsidRPr="00F0728A">
        <w:rPr>
          <w:rFonts w:ascii="Times New Roman" w:hAnsi="Times New Roman"/>
          <w:spacing w:val="2"/>
          <w:sz w:val="24"/>
          <w:szCs w:val="24"/>
        </w:rPr>
        <w:t xml:space="preserve">un travail avec les opérateurs paritaires </w:t>
      </w:r>
      <w:r w:rsidRPr="00F0728A">
        <w:rPr>
          <w:rFonts w:ascii="Times New Roman" w:hAnsi="Times New Roman"/>
          <w:sz w:val="24"/>
          <w:szCs w:val="24"/>
        </w:rPr>
        <w:t>qui participent aux réseaux d’accueil des publics salariés, notamment les Fongecif</w:t>
      </w:r>
      <w:r>
        <w:rPr>
          <w:rFonts w:ascii="Times New Roman" w:hAnsi="Times New Roman"/>
          <w:sz w:val="24"/>
          <w:szCs w:val="24"/>
        </w:rPr>
        <w:t xml:space="preserve"> et l’APEC</w:t>
      </w:r>
      <w:r w:rsidRPr="00F0728A">
        <w:rPr>
          <w:rFonts w:ascii="Times New Roman" w:hAnsi="Times New Roman"/>
          <w:sz w:val="24"/>
          <w:szCs w:val="24"/>
        </w:rPr>
        <w:t>.</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17</w:t>
      </w:r>
      <w:r w:rsidRPr="00723FB3">
        <w:rPr>
          <w:rFonts w:ascii="Times New Roman" w:hAnsi="Times New Roman"/>
          <w:b/>
          <w:sz w:val="24"/>
          <w:szCs w:val="24"/>
        </w:rPr>
        <w:t xml:space="preserve"> -</w:t>
      </w:r>
      <w:r w:rsidRPr="00F0728A">
        <w:rPr>
          <w:rFonts w:ascii="Times New Roman" w:hAnsi="Times New Roman"/>
          <w:b/>
          <w:sz w:val="24"/>
          <w:szCs w:val="24"/>
        </w:rPr>
        <w:t xml:space="preserve"> Mise en œuvre du dialogue social dans l’entreprise</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Afin de bien préparer la mise en place des IRP dans l’entreprise, les parties signataires proposent que les entreprises se voient accorder un délai d’un an pour la mise en œuvre des obligations</w:t>
      </w:r>
      <w:r>
        <w:rPr>
          <w:rFonts w:ascii="Times New Roman" w:hAnsi="Times New Roman"/>
          <w:sz w:val="24"/>
          <w:szCs w:val="24"/>
        </w:rPr>
        <w:t xml:space="preserve"> complètes</w:t>
      </w:r>
      <w:r w:rsidRPr="00F0728A">
        <w:rPr>
          <w:rFonts w:ascii="Times New Roman" w:hAnsi="Times New Roman"/>
          <w:sz w:val="24"/>
          <w:szCs w:val="24"/>
        </w:rPr>
        <w:t xml:space="preserve"> liées aux seuils de 11 et 50 salariés une fois les effectifs atteints en application</w:t>
      </w:r>
      <w:r>
        <w:rPr>
          <w:rFonts w:ascii="Times New Roman" w:hAnsi="Times New Roman"/>
          <w:sz w:val="24"/>
          <w:szCs w:val="24"/>
        </w:rPr>
        <w:t xml:space="preserve">, </w:t>
      </w:r>
      <w:r w:rsidRPr="00F0728A">
        <w:rPr>
          <w:rFonts w:ascii="Times New Roman" w:hAnsi="Times New Roman"/>
          <w:sz w:val="24"/>
          <w:szCs w:val="24"/>
        </w:rPr>
        <w:t>des dispositions du code du travail</w:t>
      </w:r>
      <w:r>
        <w:rPr>
          <w:rFonts w:ascii="Times New Roman" w:hAnsi="Times New Roman"/>
          <w:sz w:val="24"/>
          <w:szCs w:val="24"/>
        </w:rPr>
        <w:t>, sous réserve que l’organisation des élections des représentants du personnel concernés intervienne dans les trois mois du franchissement du seuil d’effectif</w:t>
      </w:r>
      <w:r w:rsidRPr="00F0728A">
        <w:rPr>
          <w:rFonts w:ascii="Times New Roman" w:hAnsi="Times New Roman"/>
          <w:sz w:val="24"/>
          <w:szCs w:val="24"/>
        </w:rPr>
        <w:t>.</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DE4F83" w:rsidRDefault="006A416F">
      <w:pPr>
        <w:spacing w:after="0"/>
        <w:jc w:val="both"/>
        <w:rPr>
          <w:rFonts w:ascii="Times New Roman" w:hAnsi="Times New Roman"/>
          <w:b/>
          <w:caps/>
          <w:sz w:val="24"/>
          <w:szCs w:val="24"/>
          <w:u w:val="single"/>
        </w:rPr>
      </w:pPr>
      <w:r w:rsidRPr="00DE4F83">
        <w:rPr>
          <w:rFonts w:ascii="Times New Roman" w:hAnsi="Times New Roman"/>
          <w:b/>
          <w:caps/>
          <w:sz w:val="24"/>
          <w:szCs w:val="24"/>
          <w:u w:val="single"/>
        </w:rPr>
        <w:t>Titre III – Donner aux entreprises les moyens de s</w:t>
      </w:r>
      <w:r>
        <w:rPr>
          <w:rFonts w:ascii="Times New Roman" w:hAnsi="Times New Roman"/>
          <w:b/>
          <w:caps/>
          <w:sz w:val="24"/>
          <w:szCs w:val="24"/>
          <w:u w:val="single"/>
        </w:rPr>
        <w:t>’</w:t>
      </w:r>
      <w:r w:rsidRPr="00DE4F83">
        <w:rPr>
          <w:rFonts w:ascii="Times New Roman" w:hAnsi="Times New Roman"/>
          <w:b/>
          <w:caps/>
          <w:sz w:val="24"/>
          <w:szCs w:val="24"/>
          <w:u w:val="single"/>
        </w:rPr>
        <w:t>adapter aux problèmes conjoncturels et de préserver l</w:t>
      </w:r>
      <w:r>
        <w:rPr>
          <w:rFonts w:ascii="Times New Roman" w:hAnsi="Times New Roman"/>
          <w:b/>
          <w:caps/>
          <w:sz w:val="24"/>
          <w:szCs w:val="24"/>
          <w:u w:val="single"/>
        </w:rPr>
        <w:t>’</w:t>
      </w:r>
      <w:r w:rsidRPr="00DE4F83">
        <w:rPr>
          <w:rFonts w:ascii="Times New Roman" w:hAnsi="Times New Roman"/>
          <w:b/>
          <w:caps/>
          <w:sz w:val="24"/>
          <w:szCs w:val="24"/>
          <w:u w:val="single"/>
        </w:rPr>
        <w:t>emploi</w:t>
      </w:r>
    </w:p>
    <w:p w:rsidR="006A416F" w:rsidRPr="00F0728A" w:rsidRDefault="006A416F">
      <w:pPr>
        <w:spacing w:after="0"/>
        <w:jc w:val="both"/>
        <w:rPr>
          <w:rFonts w:ascii="Times New Roman" w:hAnsi="Times New Roman"/>
          <w:b/>
          <w:sz w:val="24"/>
          <w:szCs w:val="24"/>
          <w:u w:val="single"/>
        </w:rPr>
      </w:pPr>
    </w:p>
    <w:p w:rsidR="006A416F" w:rsidRDefault="006A416F">
      <w:pPr>
        <w:spacing w:after="0"/>
        <w:jc w:val="both"/>
        <w:rPr>
          <w:rFonts w:ascii="Times New Roman" w:hAnsi="Times New Roman"/>
          <w:b/>
          <w:sz w:val="24"/>
          <w:szCs w:val="24"/>
          <w:u w:val="single"/>
        </w:rPr>
      </w:pPr>
    </w:p>
    <w:p w:rsidR="006A416F" w:rsidRDefault="006A416F">
      <w:pPr>
        <w:spacing w:after="0"/>
        <w:jc w:val="both"/>
        <w:rPr>
          <w:rFonts w:ascii="Times New Roman" w:hAnsi="Times New Roman"/>
          <w:b/>
          <w:sz w:val="24"/>
          <w:szCs w:val="24"/>
          <w:u w:val="single"/>
        </w:rPr>
      </w:pPr>
    </w:p>
    <w:p w:rsidR="006A416F" w:rsidRPr="00F0728A" w:rsidRDefault="006A416F">
      <w:pPr>
        <w:spacing w:after="0"/>
        <w:jc w:val="both"/>
        <w:rPr>
          <w:rFonts w:ascii="Times New Roman" w:hAnsi="Times New Roman"/>
          <w:b/>
          <w:sz w:val="24"/>
          <w:szCs w:val="24"/>
          <w:u w:val="single"/>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18</w:t>
      </w:r>
      <w:r w:rsidRPr="00F0728A">
        <w:rPr>
          <w:rFonts w:ascii="Times New Roman" w:hAnsi="Times New Roman"/>
          <w:b/>
          <w:sz w:val="24"/>
          <w:szCs w:val="24"/>
        </w:rPr>
        <w:t xml:space="preserve"> – Accords de maintien dans l’emploi</w:t>
      </w:r>
    </w:p>
    <w:p w:rsidR="006A416F" w:rsidRPr="00F0728A" w:rsidRDefault="006A416F">
      <w:pPr>
        <w:spacing w:after="0"/>
        <w:jc w:val="both"/>
        <w:rPr>
          <w:rFonts w:ascii="Times New Roman" w:hAnsi="Times New Roman"/>
          <w:b/>
          <w:sz w:val="24"/>
          <w:szCs w:val="24"/>
        </w:rPr>
      </w:pPr>
    </w:p>
    <w:p w:rsidR="006A416F" w:rsidRPr="001302DE" w:rsidRDefault="006A416F">
      <w:pPr>
        <w:spacing w:after="0"/>
        <w:jc w:val="both"/>
        <w:rPr>
          <w:rFonts w:ascii="Times New Roman" w:hAnsi="Times New Roman"/>
          <w:color w:val="000000"/>
          <w:sz w:val="24"/>
          <w:szCs w:val="24"/>
        </w:rPr>
      </w:pPr>
      <w:r w:rsidRPr="001302DE">
        <w:rPr>
          <w:rFonts w:ascii="Times New Roman" w:hAnsi="Times New Roman"/>
          <w:color w:val="000000"/>
          <w:sz w:val="24"/>
          <w:szCs w:val="24"/>
        </w:rPr>
        <w:t>Afin de maintenir l’emploi, en cas de graves difficultés conjoncturelles rencontrées par une entreprise, il convient de se doter, à côté de dispositifs existants tels que le chômage partiel, de la possibilité de conclure des accords d’entreprise permettant de trouver un nouvel équilibre, pour une durée limitée dans le temps, dans l’arbitrage global temps de travail / salaire</w:t>
      </w:r>
      <w:r>
        <w:rPr>
          <w:rStyle w:val="FootnoteReference"/>
          <w:rFonts w:ascii="Times New Roman" w:hAnsi="Times New Roman"/>
          <w:color w:val="000000"/>
          <w:sz w:val="24"/>
          <w:szCs w:val="24"/>
        </w:rPr>
        <w:footnoteReference w:id="10"/>
      </w:r>
      <w:r>
        <w:rPr>
          <w:rFonts w:ascii="Times New Roman" w:hAnsi="Times New Roman"/>
          <w:color w:val="000000"/>
          <w:sz w:val="24"/>
          <w:szCs w:val="24"/>
        </w:rPr>
        <w:t>/</w:t>
      </w:r>
      <w:r>
        <w:rPr>
          <w:rStyle w:val="FootnoteReference"/>
          <w:rFonts w:ascii="Times New Roman" w:hAnsi="Times New Roman"/>
          <w:color w:val="000000"/>
          <w:sz w:val="24"/>
          <w:szCs w:val="24"/>
        </w:rPr>
        <w:footnoteReference w:id="11"/>
      </w:r>
      <w:r w:rsidRPr="001302DE">
        <w:rPr>
          <w:rFonts w:ascii="Times New Roman" w:hAnsi="Times New Roman"/>
          <w:color w:val="000000"/>
          <w:sz w:val="24"/>
          <w:szCs w:val="24"/>
        </w:rPr>
        <w:t xml:space="preserve"> / emploi, au bénéfice de l’emploi.</w:t>
      </w:r>
    </w:p>
    <w:p w:rsidR="006A416F" w:rsidRPr="001302DE" w:rsidRDefault="006A416F">
      <w:pPr>
        <w:spacing w:after="0"/>
        <w:jc w:val="both"/>
        <w:rPr>
          <w:rFonts w:ascii="Times New Roman" w:hAnsi="Times New Roman"/>
          <w:color w:val="000000"/>
          <w:sz w:val="24"/>
          <w:szCs w:val="24"/>
        </w:rPr>
      </w:pPr>
    </w:p>
    <w:p w:rsidR="006A416F" w:rsidRPr="001302DE" w:rsidRDefault="006A416F">
      <w:pPr>
        <w:spacing w:after="0"/>
        <w:jc w:val="both"/>
        <w:rPr>
          <w:rFonts w:ascii="Times New Roman" w:hAnsi="Times New Roman"/>
          <w:color w:val="000000"/>
          <w:sz w:val="24"/>
          <w:szCs w:val="24"/>
        </w:rPr>
      </w:pPr>
      <w:r w:rsidRPr="001302DE">
        <w:rPr>
          <w:rFonts w:ascii="Times New Roman" w:hAnsi="Times New Roman"/>
          <w:color w:val="000000"/>
          <w:sz w:val="24"/>
          <w:szCs w:val="24"/>
        </w:rPr>
        <w:t>L’ouverture d’une telle négociation requiert une transparence totale sur les informations destinées à l’évaluation de la situation économique de l’entreprise.</w:t>
      </w:r>
    </w:p>
    <w:p w:rsidR="006A416F" w:rsidRPr="001302DE" w:rsidRDefault="006A416F">
      <w:pPr>
        <w:spacing w:after="0"/>
        <w:jc w:val="both"/>
        <w:rPr>
          <w:rFonts w:ascii="Times New Roman" w:hAnsi="Times New Roman"/>
          <w:color w:val="000000"/>
          <w:sz w:val="24"/>
          <w:szCs w:val="24"/>
        </w:rPr>
      </w:pPr>
    </w:p>
    <w:p w:rsidR="006A416F" w:rsidRDefault="006A416F">
      <w:pPr>
        <w:spacing w:after="0"/>
        <w:jc w:val="both"/>
        <w:rPr>
          <w:rFonts w:ascii="Times New Roman" w:hAnsi="Times New Roman"/>
          <w:color w:val="000000"/>
          <w:sz w:val="24"/>
          <w:szCs w:val="24"/>
        </w:rPr>
      </w:pPr>
      <w:r w:rsidRPr="001302DE">
        <w:rPr>
          <w:rFonts w:ascii="Times New Roman" w:hAnsi="Times New Roman"/>
          <w:color w:val="000000"/>
          <w:sz w:val="24"/>
          <w:szCs w:val="24"/>
        </w:rPr>
        <w:t>A cet effet et afin d'aboutir à un diagnostic partagé, les représentants des salariés pourront,  mobiliser les éléments d’information visés à l’article 11 ci-dessus ainsi que ceux énumérés dans l’annexe jointe en matière financière,</w:t>
      </w:r>
      <w:r>
        <w:rPr>
          <w:rFonts w:ascii="Times New Roman" w:hAnsi="Times New Roman"/>
          <w:color w:val="000000"/>
          <w:sz w:val="24"/>
          <w:szCs w:val="24"/>
        </w:rPr>
        <w:t xml:space="preserve"> </w:t>
      </w:r>
      <w:r w:rsidRPr="001302DE">
        <w:rPr>
          <w:rFonts w:ascii="Times New Roman" w:hAnsi="Times New Roman"/>
          <w:color w:val="000000"/>
          <w:sz w:val="24"/>
          <w:szCs w:val="24"/>
        </w:rPr>
        <w:t>économique et sociale.</w:t>
      </w:r>
    </w:p>
    <w:p w:rsidR="006A416F" w:rsidRDefault="006A416F">
      <w:pPr>
        <w:spacing w:after="0"/>
        <w:jc w:val="both"/>
        <w:rPr>
          <w:rFonts w:ascii="Times New Roman" w:hAnsi="Times New Roman"/>
          <w:color w:val="000000"/>
          <w:sz w:val="24"/>
          <w:szCs w:val="24"/>
        </w:rPr>
      </w:pPr>
    </w:p>
    <w:p w:rsidR="006A416F" w:rsidRPr="001302DE" w:rsidRDefault="006A416F">
      <w:pPr>
        <w:spacing w:after="0"/>
        <w:jc w:val="both"/>
        <w:rPr>
          <w:rFonts w:ascii="Times New Roman" w:hAnsi="Times New Roman"/>
          <w:color w:val="000000"/>
          <w:sz w:val="24"/>
          <w:szCs w:val="24"/>
        </w:rPr>
      </w:pPr>
      <w:r>
        <w:rPr>
          <w:rFonts w:ascii="Times New Roman" w:hAnsi="Times New Roman"/>
          <w:color w:val="000000"/>
          <w:sz w:val="24"/>
          <w:szCs w:val="24"/>
        </w:rPr>
        <w:t>I</w:t>
      </w:r>
      <w:r w:rsidRPr="001302DE">
        <w:rPr>
          <w:rFonts w:ascii="Times New Roman" w:hAnsi="Times New Roman"/>
          <w:color w:val="000000"/>
          <w:sz w:val="24"/>
          <w:szCs w:val="24"/>
        </w:rPr>
        <w:t xml:space="preserve">ls pourront faire appel à un expert-comptable de leur choix </w:t>
      </w:r>
      <w:r>
        <w:rPr>
          <w:rFonts w:ascii="Times New Roman" w:hAnsi="Times New Roman"/>
          <w:color w:val="000000"/>
          <w:sz w:val="24"/>
          <w:szCs w:val="24"/>
        </w:rPr>
        <w:t>financé par l’entreprise</w:t>
      </w:r>
      <w:r w:rsidRPr="001302DE">
        <w:rPr>
          <w:rFonts w:ascii="Times New Roman" w:hAnsi="Times New Roman"/>
          <w:color w:val="000000"/>
          <w:sz w:val="24"/>
          <w:szCs w:val="24"/>
        </w:rPr>
        <w:t>.</w:t>
      </w:r>
    </w:p>
    <w:p w:rsidR="006A416F" w:rsidRPr="001302DE" w:rsidRDefault="006A416F">
      <w:pPr>
        <w:spacing w:after="0"/>
        <w:jc w:val="both"/>
        <w:rPr>
          <w:rFonts w:ascii="Times New Roman" w:hAnsi="Times New Roman"/>
          <w:color w:val="000000"/>
          <w:sz w:val="24"/>
          <w:szCs w:val="24"/>
        </w:rPr>
      </w:pPr>
    </w:p>
    <w:p w:rsidR="006A416F" w:rsidRPr="001302DE" w:rsidRDefault="006A416F">
      <w:pPr>
        <w:spacing w:after="0"/>
        <w:contextualSpacing/>
        <w:jc w:val="both"/>
        <w:rPr>
          <w:rFonts w:ascii="Times New Roman" w:hAnsi="Times New Roman"/>
          <w:color w:val="000000"/>
          <w:sz w:val="24"/>
          <w:szCs w:val="24"/>
        </w:rPr>
      </w:pPr>
      <w:r w:rsidRPr="001302DE">
        <w:rPr>
          <w:rFonts w:ascii="Times New Roman" w:hAnsi="Times New Roman"/>
          <w:color w:val="000000"/>
          <w:sz w:val="24"/>
          <w:szCs w:val="24"/>
        </w:rPr>
        <w:t>Ces accords ne pourront pas déroger aux éléments de l’ordre public social, tels que, notamment, le Smic, la durée légale, les durées maximales quotidiennes et hebdomadaires, le repos quotidien et hebdomadaire, les congés payés légaux,</w:t>
      </w:r>
      <w:r>
        <w:rPr>
          <w:rFonts w:ascii="Times New Roman" w:hAnsi="Times New Roman"/>
          <w:color w:val="000000"/>
          <w:sz w:val="24"/>
          <w:szCs w:val="24"/>
        </w:rPr>
        <w:t xml:space="preserve"> la</w:t>
      </w:r>
      <w:r w:rsidRPr="001302DE">
        <w:rPr>
          <w:rFonts w:ascii="Times New Roman" w:hAnsi="Times New Roman"/>
          <w:color w:val="000000"/>
          <w:sz w:val="24"/>
          <w:szCs w:val="24"/>
        </w:rPr>
        <w:t xml:space="preserve"> législation relative au 1</w:t>
      </w:r>
      <w:r w:rsidRPr="001302DE">
        <w:rPr>
          <w:rFonts w:ascii="Times New Roman" w:hAnsi="Times New Roman"/>
          <w:color w:val="000000"/>
          <w:sz w:val="24"/>
          <w:szCs w:val="24"/>
          <w:vertAlign w:val="superscript"/>
        </w:rPr>
        <w:t>er</w:t>
      </w:r>
      <w:r w:rsidRPr="001302DE">
        <w:rPr>
          <w:rFonts w:ascii="Times New Roman" w:hAnsi="Times New Roman"/>
          <w:color w:val="000000"/>
          <w:sz w:val="24"/>
          <w:szCs w:val="24"/>
        </w:rPr>
        <w:t xml:space="preserve"> mai.</w:t>
      </w:r>
    </w:p>
    <w:p w:rsidR="006A416F" w:rsidRPr="001302DE" w:rsidRDefault="006A416F">
      <w:pPr>
        <w:spacing w:after="0"/>
        <w:jc w:val="both"/>
        <w:rPr>
          <w:rFonts w:ascii="Times New Roman" w:hAnsi="Times New Roman"/>
          <w:color w:val="000000"/>
          <w:sz w:val="24"/>
          <w:szCs w:val="24"/>
        </w:rPr>
      </w:pPr>
    </w:p>
    <w:p w:rsidR="006A416F" w:rsidRPr="001302DE" w:rsidRDefault="006A416F">
      <w:pPr>
        <w:spacing w:after="0"/>
        <w:jc w:val="both"/>
        <w:rPr>
          <w:rFonts w:ascii="Times New Roman" w:hAnsi="Times New Roman"/>
          <w:color w:val="000000"/>
          <w:sz w:val="24"/>
          <w:szCs w:val="24"/>
        </w:rPr>
      </w:pPr>
      <w:r w:rsidRPr="001302DE">
        <w:rPr>
          <w:rFonts w:ascii="Times New Roman" w:hAnsi="Times New Roman"/>
          <w:color w:val="000000"/>
          <w:sz w:val="24"/>
          <w:szCs w:val="24"/>
        </w:rPr>
        <w:t xml:space="preserve">Ils devront par ailleurs respecter les dispositions des accords de branche, auxquels, en application de l’article L.2253-3 du code du travail, il n’est pas possible de déroger par accord d’entreprise. </w:t>
      </w:r>
    </w:p>
    <w:p w:rsidR="006A416F" w:rsidRPr="001302DE" w:rsidRDefault="006A416F">
      <w:pPr>
        <w:spacing w:after="0"/>
        <w:jc w:val="both"/>
        <w:rPr>
          <w:rFonts w:ascii="Times New Roman" w:hAnsi="Times New Roman"/>
          <w:color w:val="000000"/>
          <w:sz w:val="24"/>
          <w:szCs w:val="24"/>
        </w:rPr>
      </w:pPr>
    </w:p>
    <w:p w:rsidR="006A416F" w:rsidRPr="001302DE" w:rsidRDefault="006A416F">
      <w:pPr>
        <w:spacing w:after="0"/>
        <w:jc w:val="both"/>
        <w:rPr>
          <w:rFonts w:ascii="Times New Roman" w:hAnsi="Times New Roman"/>
          <w:color w:val="000000"/>
          <w:sz w:val="24"/>
          <w:szCs w:val="24"/>
        </w:rPr>
      </w:pPr>
      <w:r w:rsidRPr="001302DE">
        <w:rPr>
          <w:rFonts w:ascii="Times New Roman" w:hAnsi="Times New Roman"/>
          <w:color w:val="000000"/>
          <w:sz w:val="24"/>
          <w:szCs w:val="24"/>
        </w:rPr>
        <w:t>En contrepartie de l’application de ces ajustements, l’employeur s’engage à maintenir dans l’emploi les salariés auxquels ils s’appliquent, pour une durée au moins égale à celle de l’accord.</w:t>
      </w:r>
    </w:p>
    <w:p w:rsidR="006A416F" w:rsidRPr="001302DE" w:rsidRDefault="006A416F">
      <w:pPr>
        <w:spacing w:after="0"/>
        <w:jc w:val="both"/>
        <w:rPr>
          <w:rFonts w:ascii="Times New Roman" w:hAnsi="Times New Roman"/>
          <w:color w:val="000000"/>
          <w:sz w:val="24"/>
          <w:szCs w:val="24"/>
        </w:rPr>
      </w:pPr>
    </w:p>
    <w:p w:rsidR="006A416F" w:rsidRPr="00F0728A" w:rsidRDefault="006A416F">
      <w:pPr>
        <w:spacing w:after="0"/>
        <w:ind w:right="144"/>
        <w:jc w:val="both"/>
        <w:rPr>
          <w:rFonts w:ascii="Times New Roman" w:hAnsi="Times New Roman"/>
          <w:spacing w:val="14"/>
          <w:sz w:val="24"/>
          <w:szCs w:val="24"/>
        </w:rPr>
      </w:pPr>
      <w:r w:rsidRPr="00F0728A">
        <w:rPr>
          <w:rFonts w:ascii="Times New Roman" w:hAnsi="Times New Roman"/>
          <w:spacing w:val="14"/>
          <w:sz w:val="24"/>
          <w:szCs w:val="24"/>
        </w:rPr>
        <w:t>Ces accords doivent être entourés de toutes les garanties nécessaires. Celles-ci sont détaillées en annexe.</w:t>
      </w:r>
    </w:p>
    <w:p w:rsidR="006A416F" w:rsidRPr="00F0728A" w:rsidRDefault="006A416F">
      <w:pPr>
        <w:spacing w:after="0"/>
        <w:ind w:right="144"/>
        <w:jc w:val="both"/>
        <w:rPr>
          <w:rFonts w:ascii="Times New Roman" w:hAnsi="Times New Roman"/>
          <w:spacing w:val="14"/>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z w:val="24"/>
          <w:szCs w:val="24"/>
        </w:rPr>
        <w:t xml:space="preserve">Étant donné le champ de ces accords, qui résultent d’une négociation permettant de trouver un nouvel équilibre dans l’arbitrage global temps </w:t>
      </w:r>
      <w:r w:rsidRPr="00F0728A">
        <w:rPr>
          <w:rFonts w:ascii="Times New Roman" w:hAnsi="Times New Roman"/>
          <w:spacing w:val="-2"/>
          <w:sz w:val="24"/>
          <w:szCs w:val="24"/>
        </w:rPr>
        <w:t xml:space="preserve">du travail / salaire / emploi, au bénéfice de l’emploi, ceux-ci ne peuvent être que des </w:t>
      </w:r>
      <w:r w:rsidRPr="00F0728A">
        <w:rPr>
          <w:rFonts w:ascii="Times New Roman" w:hAnsi="Times New Roman"/>
          <w:sz w:val="24"/>
          <w:szCs w:val="24"/>
        </w:rPr>
        <w:t>accords majoritaires conclus pour une durée maximale de deux ans</w:t>
      </w:r>
      <w:r w:rsidRPr="00F0728A">
        <w:rPr>
          <w:rStyle w:val="FootnoteReference"/>
          <w:rFonts w:ascii="Times New Roman" w:hAnsi="Times New Roman"/>
          <w:sz w:val="24"/>
          <w:szCs w:val="24"/>
        </w:rPr>
        <w:footnoteReference w:id="12"/>
      </w:r>
      <w:r w:rsidRPr="00F0728A">
        <w:rPr>
          <w:rFonts w:ascii="Times New Roman" w:hAnsi="Times New Roman"/>
          <w:sz w:val="24"/>
          <w:szCs w:val="24"/>
        </w:rPr>
        <w:t>.</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pacing w:val="2"/>
          <w:sz w:val="24"/>
          <w:szCs w:val="24"/>
        </w:rPr>
        <w:t xml:space="preserve">En contrepartie des efforts demandés, l’accord devra comporter des garanties telles que le partage du bénéfice économique de l’accord arrivé à échéance et les sanctions en </w:t>
      </w:r>
      <w:r w:rsidRPr="00F0728A">
        <w:rPr>
          <w:rFonts w:ascii="Times New Roman" w:hAnsi="Times New Roman"/>
          <w:sz w:val="24"/>
          <w:szCs w:val="24"/>
        </w:rPr>
        <w:t>cas de non-respect de celui-ci.</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ind w:right="144"/>
        <w:jc w:val="both"/>
        <w:rPr>
          <w:rFonts w:ascii="Times New Roman" w:hAnsi="Times New Roman"/>
          <w:spacing w:val="2"/>
          <w:sz w:val="24"/>
          <w:szCs w:val="24"/>
        </w:rPr>
      </w:pPr>
      <w:r w:rsidRPr="00F0728A">
        <w:rPr>
          <w:rFonts w:ascii="Times New Roman" w:hAnsi="Times New Roman"/>
          <w:spacing w:val="2"/>
          <w:sz w:val="24"/>
          <w:szCs w:val="24"/>
        </w:rPr>
        <w:t xml:space="preserve">Ces accords constituent un outil supplémentaire </w:t>
      </w:r>
      <w:r>
        <w:rPr>
          <w:rFonts w:ascii="Times New Roman" w:hAnsi="Times New Roman"/>
          <w:spacing w:val="2"/>
          <w:sz w:val="24"/>
          <w:szCs w:val="24"/>
        </w:rPr>
        <w:t>pouvant compléter les dispositifs existants. Ces accords doivent permettre aux</w:t>
      </w:r>
      <w:r w:rsidRPr="00F0728A">
        <w:rPr>
          <w:rFonts w:ascii="Times New Roman" w:hAnsi="Times New Roman"/>
          <w:spacing w:val="2"/>
          <w:sz w:val="24"/>
          <w:szCs w:val="24"/>
        </w:rPr>
        <w:t xml:space="preserve"> partenaires sociaux </w:t>
      </w:r>
      <w:r>
        <w:rPr>
          <w:rFonts w:ascii="Times New Roman" w:hAnsi="Times New Roman"/>
          <w:spacing w:val="2"/>
          <w:sz w:val="24"/>
          <w:szCs w:val="24"/>
        </w:rPr>
        <w:t>de</w:t>
      </w:r>
      <w:r w:rsidRPr="00F0728A">
        <w:rPr>
          <w:rFonts w:ascii="Times New Roman" w:hAnsi="Times New Roman"/>
          <w:spacing w:val="2"/>
          <w:sz w:val="24"/>
          <w:szCs w:val="24"/>
        </w:rPr>
        <w:t xml:space="preserve"> l’entreprise </w:t>
      </w:r>
      <w:r>
        <w:rPr>
          <w:rFonts w:ascii="Times New Roman" w:hAnsi="Times New Roman"/>
          <w:spacing w:val="2"/>
          <w:sz w:val="24"/>
          <w:szCs w:val="24"/>
        </w:rPr>
        <w:t>de</w:t>
      </w:r>
      <w:r w:rsidRPr="00F0728A">
        <w:rPr>
          <w:rFonts w:ascii="Times New Roman" w:hAnsi="Times New Roman"/>
          <w:spacing w:val="2"/>
          <w:sz w:val="24"/>
          <w:szCs w:val="24"/>
        </w:rPr>
        <w:t xml:space="preserve"> passer un cap difficile et </w:t>
      </w:r>
      <w:r>
        <w:rPr>
          <w:rFonts w:ascii="Times New Roman" w:hAnsi="Times New Roman"/>
          <w:spacing w:val="2"/>
          <w:sz w:val="24"/>
          <w:szCs w:val="24"/>
        </w:rPr>
        <w:t xml:space="preserve">de </w:t>
      </w:r>
      <w:r w:rsidRPr="00F0728A">
        <w:rPr>
          <w:rFonts w:ascii="Times New Roman" w:hAnsi="Times New Roman"/>
          <w:spacing w:val="2"/>
          <w:sz w:val="24"/>
          <w:szCs w:val="24"/>
        </w:rPr>
        <w:t>consolider le dialogue social sans en faire un cas général.</w:t>
      </w:r>
    </w:p>
    <w:p w:rsidR="006A416F" w:rsidRPr="00F0728A" w:rsidRDefault="006A416F">
      <w:pPr>
        <w:spacing w:after="0"/>
        <w:ind w:right="144"/>
        <w:jc w:val="both"/>
        <w:rPr>
          <w:rFonts w:ascii="Times New Roman" w:hAnsi="Times New Roman"/>
          <w:spacing w:val="2"/>
          <w:sz w:val="24"/>
          <w:szCs w:val="24"/>
        </w:rPr>
      </w:pPr>
    </w:p>
    <w:p w:rsidR="006A416F" w:rsidRPr="00F0728A" w:rsidRDefault="006A416F">
      <w:pPr>
        <w:spacing w:after="0"/>
        <w:ind w:right="144"/>
        <w:jc w:val="both"/>
        <w:rPr>
          <w:rFonts w:ascii="Times New Roman" w:hAnsi="Times New Roman"/>
          <w:spacing w:val="2"/>
          <w:sz w:val="24"/>
          <w:szCs w:val="24"/>
        </w:rPr>
      </w:pPr>
      <w:r w:rsidRPr="00F0728A">
        <w:rPr>
          <w:rFonts w:ascii="Times New Roman" w:hAnsi="Times New Roman"/>
          <w:spacing w:val="2"/>
          <w:sz w:val="24"/>
          <w:szCs w:val="24"/>
        </w:rPr>
        <w:t>Les accords de maintien dans l’emploi devront participer d’une démarche de transparence identique à celle recherchée dans les négociations en cours au niveau national interprofessionnel sur la modernisation du dialogue social.</w:t>
      </w:r>
    </w:p>
    <w:p w:rsidR="006A416F" w:rsidRPr="00F0728A" w:rsidRDefault="006A416F">
      <w:pPr>
        <w:spacing w:after="0"/>
        <w:ind w:right="144"/>
        <w:jc w:val="both"/>
        <w:rPr>
          <w:rFonts w:ascii="Times New Roman" w:hAnsi="Times New Roman"/>
          <w:spacing w:val="2"/>
          <w:sz w:val="24"/>
          <w:szCs w:val="24"/>
        </w:rPr>
      </w:pPr>
    </w:p>
    <w:p w:rsidR="006A416F" w:rsidRPr="007A0637" w:rsidRDefault="006A416F" w:rsidP="001302DE">
      <w:pPr>
        <w:spacing w:after="0"/>
        <w:ind w:right="144"/>
        <w:jc w:val="both"/>
        <w:rPr>
          <w:rFonts w:ascii="Times New Roman" w:hAnsi="Times New Roman"/>
          <w:w w:val="105"/>
          <w:sz w:val="24"/>
          <w:szCs w:val="24"/>
        </w:rPr>
      </w:pPr>
      <w:r w:rsidRPr="00F0728A">
        <w:rPr>
          <w:rFonts w:ascii="Times New Roman" w:hAnsi="Times New Roman"/>
          <w:spacing w:val="5"/>
          <w:sz w:val="24"/>
          <w:szCs w:val="24"/>
        </w:rPr>
        <w:t xml:space="preserve">Leur acceptabilité par les salariés concernés requiert le respect d’une certaine </w:t>
      </w:r>
      <w:r w:rsidRPr="00F0728A">
        <w:rPr>
          <w:rFonts w:ascii="Times New Roman" w:hAnsi="Times New Roman"/>
          <w:spacing w:val="-1"/>
          <w:sz w:val="24"/>
          <w:szCs w:val="24"/>
        </w:rPr>
        <w:t xml:space="preserve">symétrie des formes à l’égard de la rémunération des mandataires </w:t>
      </w:r>
      <w:r w:rsidRPr="00F0728A">
        <w:rPr>
          <w:rFonts w:ascii="Times New Roman" w:hAnsi="Times New Roman"/>
          <w:spacing w:val="-1"/>
          <w:w w:val="105"/>
          <w:sz w:val="24"/>
          <w:szCs w:val="24"/>
        </w:rPr>
        <w:t xml:space="preserve">sociaux et des </w:t>
      </w:r>
      <w:r w:rsidRPr="00F0728A">
        <w:rPr>
          <w:rFonts w:ascii="Times New Roman" w:hAnsi="Times New Roman"/>
          <w:w w:val="105"/>
          <w:sz w:val="24"/>
          <w:szCs w:val="24"/>
        </w:rPr>
        <w:t>actionnaires</w:t>
      </w:r>
      <w:r>
        <w:rPr>
          <w:rFonts w:ascii="Times New Roman" w:hAnsi="Times New Roman"/>
          <w:w w:val="105"/>
          <w:sz w:val="24"/>
          <w:szCs w:val="24"/>
        </w:rPr>
        <w:t>. Les dirigeants salariés qui exercent leurs responsabilités dans le périmètre de l’accord doivent participer aux mêmes efforts que ceux qui sont demandés aux salariés.</w:t>
      </w:r>
    </w:p>
    <w:p w:rsidR="006A416F" w:rsidRPr="00F0728A" w:rsidRDefault="006A416F">
      <w:pPr>
        <w:spacing w:after="0"/>
        <w:ind w:right="144"/>
        <w:jc w:val="both"/>
        <w:rPr>
          <w:rFonts w:ascii="Times New Roman" w:hAnsi="Times New Roman"/>
          <w:w w:val="105"/>
          <w:sz w:val="24"/>
          <w:szCs w:val="24"/>
        </w:rPr>
      </w:pPr>
    </w:p>
    <w:p w:rsidR="006A416F" w:rsidRPr="00F0728A" w:rsidRDefault="006A416F">
      <w:pPr>
        <w:spacing w:after="0"/>
        <w:ind w:right="144"/>
        <w:jc w:val="both"/>
        <w:rPr>
          <w:rFonts w:ascii="Times New Roman" w:hAnsi="Times New Roman"/>
          <w:spacing w:val="-4"/>
          <w:sz w:val="24"/>
          <w:szCs w:val="24"/>
        </w:rPr>
      </w:pPr>
      <w:r w:rsidRPr="00F0728A">
        <w:rPr>
          <w:rFonts w:ascii="Times New Roman" w:hAnsi="Times New Roman"/>
          <w:spacing w:val="-4"/>
          <w:sz w:val="24"/>
          <w:szCs w:val="24"/>
        </w:rPr>
        <w:t>Bien que s’imposant au contrat de travail, l’accord de maintien dans l’emploi requiert néanmoins l’accord individuel du salarié.</w:t>
      </w:r>
    </w:p>
    <w:p w:rsidR="006A416F" w:rsidRPr="00F0728A" w:rsidRDefault="006A416F">
      <w:pPr>
        <w:spacing w:after="0"/>
        <w:ind w:right="144"/>
        <w:jc w:val="both"/>
        <w:rPr>
          <w:rFonts w:ascii="Times New Roman" w:hAnsi="Times New Roman"/>
          <w:spacing w:val="-4"/>
          <w:sz w:val="24"/>
          <w:szCs w:val="24"/>
        </w:rPr>
      </w:pPr>
    </w:p>
    <w:p w:rsidR="006A416F" w:rsidRPr="00F0728A" w:rsidRDefault="006A416F">
      <w:pPr>
        <w:spacing w:after="0"/>
        <w:ind w:right="144"/>
        <w:jc w:val="both"/>
        <w:rPr>
          <w:rFonts w:ascii="Times New Roman" w:hAnsi="Times New Roman"/>
          <w:w w:val="105"/>
          <w:sz w:val="24"/>
          <w:szCs w:val="24"/>
        </w:rPr>
      </w:pPr>
      <w:r w:rsidRPr="00F0728A">
        <w:rPr>
          <w:rFonts w:ascii="Times New Roman" w:hAnsi="Times New Roman"/>
          <w:spacing w:val="-2"/>
          <w:sz w:val="24"/>
          <w:szCs w:val="24"/>
        </w:rPr>
        <w:t xml:space="preserve">En cas de refus du salarié des mesures prévues par l’accord, </w:t>
      </w:r>
      <w:r w:rsidRPr="00F0728A">
        <w:rPr>
          <w:rFonts w:ascii="Times New Roman" w:hAnsi="Times New Roman"/>
          <w:spacing w:val="12"/>
          <w:w w:val="105"/>
          <w:sz w:val="24"/>
          <w:szCs w:val="24"/>
        </w:rPr>
        <w:t xml:space="preserve">la </w:t>
      </w:r>
      <w:r w:rsidRPr="00F0728A">
        <w:rPr>
          <w:rFonts w:ascii="Times New Roman" w:hAnsi="Times New Roman"/>
          <w:spacing w:val="12"/>
          <w:sz w:val="24"/>
          <w:szCs w:val="24"/>
        </w:rPr>
        <w:t xml:space="preserve">rupture de son contrat de travail qui en résulte s’analyse en un </w:t>
      </w:r>
      <w:r w:rsidRPr="00F0728A">
        <w:rPr>
          <w:rFonts w:ascii="Times New Roman" w:hAnsi="Times New Roman"/>
          <w:sz w:val="24"/>
          <w:szCs w:val="24"/>
        </w:rPr>
        <w:t xml:space="preserve">licenciement économique dont la cause réelle et sérieuse est attestée par l’accord </w:t>
      </w:r>
      <w:r w:rsidRPr="00F0728A">
        <w:rPr>
          <w:rFonts w:ascii="Times New Roman" w:hAnsi="Times New Roman"/>
          <w:w w:val="105"/>
          <w:sz w:val="24"/>
          <w:szCs w:val="24"/>
        </w:rPr>
        <w:t>précité.</w:t>
      </w:r>
    </w:p>
    <w:p w:rsidR="006A416F" w:rsidRPr="00F0728A" w:rsidRDefault="006A416F">
      <w:pPr>
        <w:spacing w:after="0"/>
        <w:ind w:right="144"/>
        <w:jc w:val="both"/>
        <w:rPr>
          <w:rFonts w:ascii="Times New Roman" w:hAnsi="Times New Roman"/>
          <w:w w:val="105"/>
          <w:sz w:val="24"/>
          <w:szCs w:val="24"/>
        </w:rPr>
      </w:pPr>
    </w:p>
    <w:p w:rsidR="006A416F" w:rsidRDefault="006A416F">
      <w:pPr>
        <w:spacing w:after="0"/>
        <w:ind w:right="144"/>
        <w:jc w:val="both"/>
        <w:rPr>
          <w:rFonts w:ascii="Times New Roman" w:hAnsi="Times New Roman"/>
          <w:sz w:val="24"/>
          <w:szCs w:val="24"/>
        </w:rPr>
      </w:pPr>
      <w:r w:rsidRPr="00F0728A">
        <w:rPr>
          <w:rFonts w:ascii="Times New Roman" w:hAnsi="Times New Roman"/>
          <w:sz w:val="24"/>
          <w:szCs w:val="24"/>
        </w:rPr>
        <w:t xml:space="preserve">L’entreprise est exonérée de l’ensemble des obligations légales et conventionnelles </w:t>
      </w:r>
      <w:r w:rsidRPr="00F0728A">
        <w:rPr>
          <w:rFonts w:ascii="Times New Roman" w:hAnsi="Times New Roman"/>
          <w:w w:val="105"/>
          <w:sz w:val="24"/>
          <w:szCs w:val="24"/>
        </w:rPr>
        <w:t xml:space="preserve">qui auraient </w:t>
      </w:r>
      <w:r w:rsidRPr="00F0728A">
        <w:rPr>
          <w:rFonts w:ascii="Times New Roman" w:hAnsi="Times New Roman"/>
          <w:sz w:val="24"/>
          <w:szCs w:val="24"/>
        </w:rPr>
        <w:t>résulté d’un licenciement collectif pour motif économique.</w:t>
      </w:r>
    </w:p>
    <w:p w:rsidR="006A416F" w:rsidRPr="00F0728A" w:rsidRDefault="006A416F">
      <w:pPr>
        <w:spacing w:after="0"/>
        <w:ind w:right="144"/>
        <w:jc w:val="both"/>
        <w:rPr>
          <w:rFonts w:ascii="Times New Roman" w:hAnsi="Times New Roman"/>
          <w:sz w:val="24"/>
          <w:szCs w:val="24"/>
        </w:rPr>
      </w:pPr>
    </w:p>
    <w:p w:rsidR="006A416F" w:rsidRPr="00F0728A" w:rsidRDefault="006A416F">
      <w:pPr>
        <w:spacing w:after="0"/>
        <w:ind w:right="144"/>
        <w:jc w:val="both"/>
        <w:rPr>
          <w:rFonts w:ascii="Times New Roman" w:hAnsi="Times New Roman"/>
          <w:sz w:val="24"/>
          <w:szCs w:val="24"/>
        </w:rPr>
      </w:pPr>
      <w:r w:rsidRPr="00F0728A">
        <w:rPr>
          <w:rFonts w:ascii="Times New Roman" w:hAnsi="Times New Roman"/>
          <w:sz w:val="24"/>
          <w:szCs w:val="24"/>
        </w:rPr>
        <w:t>Toutefois l’accord devra prévoir des mesures d’accompagnement susceptibles de bénéficier au salarié ayant refusé l’application des mesures de l’accord.</w:t>
      </w:r>
    </w:p>
    <w:p w:rsidR="006A416F" w:rsidRPr="00F0728A" w:rsidRDefault="006A416F">
      <w:pPr>
        <w:spacing w:after="0"/>
        <w:ind w:right="144"/>
        <w:jc w:val="both"/>
        <w:rPr>
          <w:rFonts w:ascii="Times New Roman" w:hAnsi="Times New Roman"/>
          <w:w w:val="105"/>
          <w:sz w:val="24"/>
          <w:szCs w:val="24"/>
        </w:rPr>
      </w:pPr>
    </w:p>
    <w:p w:rsidR="006A416F" w:rsidRPr="00F0728A" w:rsidRDefault="006A416F">
      <w:pPr>
        <w:spacing w:after="0"/>
        <w:ind w:right="144"/>
        <w:jc w:val="both"/>
        <w:rPr>
          <w:rFonts w:ascii="Times New Roman" w:hAnsi="Times New Roman"/>
          <w:w w:val="105"/>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19</w:t>
      </w:r>
      <w:r w:rsidRPr="00F0728A">
        <w:rPr>
          <w:rFonts w:ascii="Times New Roman" w:hAnsi="Times New Roman"/>
          <w:b/>
          <w:sz w:val="24"/>
          <w:szCs w:val="24"/>
        </w:rPr>
        <w:t xml:space="preserve"> –</w:t>
      </w:r>
      <w:r>
        <w:rPr>
          <w:rFonts w:ascii="Times New Roman" w:hAnsi="Times New Roman"/>
          <w:b/>
          <w:sz w:val="24"/>
          <w:szCs w:val="24"/>
        </w:rPr>
        <w:t xml:space="preserve"> </w:t>
      </w:r>
      <w:r w:rsidRPr="00F0728A">
        <w:rPr>
          <w:rFonts w:ascii="Times New Roman" w:hAnsi="Times New Roman"/>
          <w:b/>
          <w:sz w:val="24"/>
          <w:szCs w:val="24"/>
        </w:rPr>
        <w:t>Recours à l’activité partielle</w:t>
      </w:r>
    </w:p>
    <w:p w:rsidR="006A416F" w:rsidRPr="00F0728A" w:rsidRDefault="006A416F">
      <w:pPr>
        <w:spacing w:after="0"/>
        <w:jc w:val="both"/>
        <w:rPr>
          <w:rFonts w:ascii="Times New Roman" w:hAnsi="Times New Roman"/>
          <w:b/>
          <w:sz w:val="24"/>
          <w:szCs w:val="24"/>
        </w:rPr>
      </w:pPr>
    </w:p>
    <w:p w:rsidR="006A416F" w:rsidRDefault="006A416F" w:rsidP="001302DE">
      <w:pPr>
        <w:spacing w:after="0"/>
        <w:contextualSpacing/>
        <w:jc w:val="both"/>
        <w:rPr>
          <w:rFonts w:ascii="Times New Roman" w:hAnsi="Times New Roman"/>
          <w:sz w:val="24"/>
          <w:szCs w:val="24"/>
        </w:rPr>
      </w:pPr>
      <w:r w:rsidRPr="00700B3E">
        <w:rPr>
          <w:rFonts w:ascii="Times New Roman" w:hAnsi="Times New Roman"/>
          <w:sz w:val="24"/>
          <w:szCs w:val="24"/>
        </w:rPr>
        <w:t>Devant l’urgence de la situation et le besoin d</w:t>
      </w:r>
      <w:r>
        <w:rPr>
          <w:rFonts w:ascii="Times New Roman" w:hAnsi="Times New Roman"/>
          <w:sz w:val="24"/>
          <w:szCs w:val="24"/>
        </w:rPr>
        <w:t>e</w:t>
      </w:r>
      <w:r w:rsidRPr="00700B3E">
        <w:rPr>
          <w:rFonts w:ascii="Times New Roman" w:hAnsi="Times New Roman"/>
          <w:sz w:val="24"/>
          <w:szCs w:val="24"/>
        </w:rPr>
        <w:t>s entreprise</w:t>
      </w:r>
      <w:r>
        <w:rPr>
          <w:rFonts w:ascii="Times New Roman" w:hAnsi="Times New Roman"/>
          <w:sz w:val="24"/>
          <w:szCs w:val="24"/>
        </w:rPr>
        <w:t>s</w:t>
      </w:r>
      <w:r w:rsidRPr="00700B3E">
        <w:rPr>
          <w:rFonts w:ascii="Times New Roman" w:hAnsi="Times New Roman"/>
          <w:sz w:val="24"/>
          <w:szCs w:val="24"/>
        </w:rPr>
        <w:t>,</w:t>
      </w:r>
      <w:r>
        <w:rPr>
          <w:rFonts w:ascii="Times New Roman" w:hAnsi="Times New Roman"/>
          <w:sz w:val="24"/>
          <w:szCs w:val="24"/>
        </w:rPr>
        <w:t xml:space="preserve"> </w:t>
      </w:r>
      <w:r w:rsidRPr="001D502A">
        <w:rPr>
          <w:rFonts w:ascii="Times New Roman" w:hAnsi="Times New Roman"/>
          <w:sz w:val="24"/>
          <w:szCs w:val="24"/>
        </w:rPr>
        <w:t xml:space="preserve">les parties signataires engageront dans les deux semaines suivant la signature du présent accord une négociation sur l’activité partielle, en incluant l’Etat sur les champs relevant de sa compétence, visant à mettre en œuvre un nouveau régime d’activité partielle encadré par les principes exposés ci-après : </w:t>
      </w:r>
    </w:p>
    <w:p w:rsidR="006A416F" w:rsidRPr="001D502A" w:rsidRDefault="006A416F" w:rsidP="001302DE">
      <w:pPr>
        <w:spacing w:after="0"/>
        <w:contextualSpacing/>
        <w:jc w:val="both"/>
        <w:rPr>
          <w:rFonts w:ascii="Times New Roman" w:hAnsi="Times New Roman"/>
          <w:sz w:val="24"/>
          <w:szCs w:val="24"/>
        </w:rPr>
      </w:pPr>
    </w:p>
    <w:p w:rsidR="006A416F" w:rsidRPr="00723FB3" w:rsidRDefault="006A416F" w:rsidP="00723FB3">
      <w:pPr>
        <w:pStyle w:val="ListParagraph"/>
        <w:numPr>
          <w:ilvl w:val="0"/>
          <w:numId w:val="20"/>
        </w:numPr>
        <w:spacing w:after="0"/>
        <w:jc w:val="both"/>
        <w:rPr>
          <w:rFonts w:ascii="Times New Roman" w:hAnsi="Times New Roman"/>
          <w:sz w:val="24"/>
          <w:szCs w:val="24"/>
        </w:rPr>
      </w:pPr>
      <w:r w:rsidRPr="00723FB3">
        <w:rPr>
          <w:rFonts w:ascii="Times New Roman" w:hAnsi="Times New Roman"/>
          <w:sz w:val="24"/>
          <w:szCs w:val="24"/>
        </w:rPr>
        <w:t xml:space="preserve">la procédure d’autorisation préalable réintroduite récemment est maintenue, sans nécessité de conventionnement ; </w:t>
      </w:r>
    </w:p>
    <w:p w:rsidR="006A416F" w:rsidRPr="001D502A" w:rsidRDefault="006A416F" w:rsidP="001302DE">
      <w:pPr>
        <w:spacing w:after="0"/>
        <w:ind w:left="720"/>
        <w:contextualSpacing/>
        <w:jc w:val="both"/>
        <w:rPr>
          <w:rFonts w:ascii="Times New Roman" w:hAnsi="Times New Roman"/>
          <w:sz w:val="24"/>
          <w:szCs w:val="24"/>
        </w:rPr>
      </w:pPr>
    </w:p>
    <w:p w:rsidR="006A416F" w:rsidRPr="00723FB3" w:rsidRDefault="006A416F" w:rsidP="00723FB3">
      <w:pPr>
        <w:pStyle w:val="ListParagraph"/>
        <w:numPr>
          <w:ilvl w:val="0"/>
          <w:numId w:val="20"/>
        </w:numPr>
        <w:spacing w:after="0"/>
        <w:jc w:val="both"/>
        <w:rPr>
          <w:rFonts w:ascii="Times New Roman" w:hAnsi="Times New Roman"/>
          <w:sz w:val="24"/>
          <w:szCs w:val="24"/>
        </w:rPr>
      </w:pPr>
      <w:r w:rsidRPr="00723FB3">
        <w:rPr>
          <w:rFonts w:ascii="Times New Roman" w:hAnsi="Times New Roman"/>
          <w:sz w:val="24"/>
          <w:szCs w:val="24"/>
        </w:rPr>
        <w:t xml:space="preserve">l’allocation spécifique et l’allocation d’APLD sont regroupées et prises en charge dans les mêmes conditions que l’APLD par l’Etat et l’Unédic ;  </w:t>
      </w:r>
    </w:p>
    <w:p w:rsidR="006A416F" w:rsidRPr="00723FB3" w:rsidRDefault="006A416F" w:rsidP="00723FB3">
      <w:pPr>
        <w:pStyle w:val="ListParagraph"/>
        <w:numPr>
          <w:ilvl w:val="0"/>
          <w:numId w:val="20"/>
        </w:numPr>
        <w:spacing w:after="0"/>
        <w:jc w:val="both"/>
        <w:rPr>
          <w:rFonts w:ascii="Times New Roman" w:hAnsi="Times New Roman"/>
          <w:sz w:val="24"/>
          <w:szCs w:val="24"/>
        </w:rPr>
      </w:pPr>
      <w:r w:rsidRPr="00723FB3">
        <w:rPr>
          <w:rFonts w:ascii="Times New Roman" w:hAnsi="Times New Roman"/>
          <w:sz w:val="24"/>
          <w:szCs w:val="24"/>
        </w:rPr>
        <w:t xml:space="preserve">le régime actuel est simplifié et unifié : </w:t>
      </w:r>
    </w:p>
    <w:p w:rsidR="006A416F" w:rsidRPr="00723FB3" w:rsidRDefault="006A416F" w:rsidP="00723FB3">
      <w:pPr>
        <w:pStyle w:val="ListParagraph"/>
        <w:numPr>
          <w:ilvl w:val="1"/>
          <w:numId w:val="20"/>
        </w:numPr>
        <w:spacing w:after="0"/>
        <w:jc w:val="both"/>
        <w:rPr>
          <w:rFonts w:ascii="Times New Roman" w:hAnsi="Times New Roman"/>
          <w:sz w:val="24"/>
          <w:szCs w:val="24"/>
        </w:rPr>
      </w:pPr>
      <w:r w:rsidRPr="00723FB3">
        <w:rPr>
          <w:rFonts w:ascii="Times New Roman" w:hAnsi="Times New Roman"/>
          <w:sz w:val="24"/>
          <w:szCs w:val="24"/>
        </w:rPr>
        <w:t xml:space="preserve">maintien d’un contingent annuel d’heures d’activité partielle par salarié (aujourd’hui fixé à 1000 heures), </w:t>
      </w:r>
    </w:p>
    <w:p w:rsidR="006A416F" w:rsidRPr="00723FB3" w:rsidRDefault="006A416F" w:rsidP="00723FB3">
      <w:pPr>
        <w:pStyle w:val="ListParagraph"/>
        <w:numPr>
          <w:ilvl w:val="1"/>
          <w:numId w:val="20"/>
        </w:numPr>
        <w:spacing w:after="0"/>
        <w:jc w:val="both"/>
        <w:rPr>
          <w:rFonts w:ascii="Times New Roman" w:hAnsi="Times New Roman"/>
          <w:sz w:val="24"/>
          <w:szCs w:val="24"/>
        </w:rPr>
      </w:pPr>
      <w:r w:rsidRPr="00723FB3">
        <w:rPr>
          <w:rFonts w:ascii="Times New Roman" w:hAnsi="Times New Roman"/>
          <w:sz w:val="24"/>
          <w:szCs w:val="24"/>
        </w:rPr>
        <w:t xml:space="preserve">simplification importante des modalités de calcul des heures indemnisables, en fixant une règle de prise en charge sur la perte d’heures de travail applicable quel que soit le mode d’aménagement du temps de travail prévu dans l’entreprise ;  </w:t>
      </w:r>
    </w:p>
    <w:p w:rsidR="006A416F" w:rsidRPr="00723FB3" w:rsidRDefault="006A416F" w:rsidP="00723FB3">
      <w:pPr>
        <w:pStyle w:val="ListParagraph"/>
        <w:numPr>
          <w:ilvl w:val="1"/>
          <w:numId w:val="20"/>
        </w:numPr>
        <w:spacing w:after="0"/>
        <w:jc w:val="both"/>
        <w:rPr>
          <w:rFonts w:ascii="Times New Roman" w:hAnsi="Times New Roman"/>
          <w:sz w:val="24"/>
          <w:szCs w:val="24"/>
        </w:rPr>
      </w:pPr>
      <w:r w:rsidRPr="00723FB3">
        <w:rPr>
          <w:rFonts w:ascii="Times New Roman" w:hAnsi="Times New Roman"/>
          <w:sz w:val="24"/>
          <w:szCs w:val="24"/>
        </w:rPr>
        <w:t xml:space="preserve">en dehors du nouveau régime unifié, abrogation des autres dispositifs d’activité partielle qui tomberont de fait en désuétude ; </w:t>
      </w:r>
    </w:p>
    <w:p w:rsidR="006A416F" w:rsidRPr="001D502A" w:rsidRDefault="006A416F" w:rsidP="001302DE">
      <w:pPr>
        <w:spacing w:after="0"/>
        <w:ind w:left="1416"/>
        <w:contextualSpacing/>
        <w:jc w:val="both"/>
        <w:rPr>
          <w:rFonts w:ascii="Times New Roman" w:hAnsi="Times New Roman"/>
          <w:sz w:val="24"/>
          <w:szCs w:val="24"/>
        </w:rPr>
      </w:pPr>
    </w:p>
    <w:p w:rsidR="006A416F" w:rsidRPr="00723FB3" w:rsidRDefault="006A416F" w:rsidP="00723FB3">
      <w:pPr>
        <w:pStyle w:val="ListParagraph"/>
        <w:numPr>
          <w:ilvl w:val="0"/>
          <w:numId w:val="20"/>
        </w:numPr>
        <w:spacing w:after="0"/>
        <w:jc w:val="both"/>
        <w:rPr>
          <w:rFonts w:ascii="Times New Roman" w:hAnsi="Times New Roman"/>
          <w:sz w:val="24"/>
          <w:szCs w:val="24"/>
        </w:rPr>
      </w:pPr>
      <w:r w:rsidRPr="00723FB3">
        <w:rPr>
          <w:rFonts w:ascii="Times New Roman" w:hAnsi="Times New Roman"/>
          <w:sz w:val="24"/>
          <w:szCs w:val="24"/>
        </w:rPr>
        <w:t>le niveau d’indemnisation garanti aux salariés est plus incitatif au départ en formation ;</w:t>
      </w:r>
    </w:p>
    <w:p w:rsidR="006A416F" w:rsidRPr="001D502A" w:rsidRDefault="006A416F" w:rsidP="001302DE">
      <w:pPr>
        <w:spacing w:after="0"/>
        <w:ind w:left="1416"/>
        <w:contextualSpacing/>
        <w:jc w:val="both"/>
        <w:rPr>
          <w:rFonts w:ascii="Times New Roman" w:hAnsi="Times New Roman"/>
          <w:sz w:val="24"/>
          <w:szCs w:val="24"/>
        </w:rPr>
      </w:pPr>
    </w:p>
    <w:p w:rsidR="006A416F" w:rsidRPr="00723FB3" w:rsidRDefault="006A416F" w:rsidP="00723FB3">
      <w:pPr>
        <w:pStyle w:val="ListParagraph"/>
        <w:numPr>
          <w:ilvl w:val="0"/>
          <w:numId w:val="20"/>
        </w:numPr>
        <w:spacing w:after="0"/>
        <w:jc w:val="both"/>
        <w:rPr>
          <w:rFonts w:ascii="Times New Roman" w:hAnsi="Times New Roman"/>
          <w:sz w:val="24"/>
          <w:szCs w:val="24"/>
        </w:rPr>
      </w:pPr>
      <w:r w:rsidRPr="00723FB3">
        <w:rPr>
          <w:rFonts w:ascii="Times New Roman" w:hAnsi="Times New Roman"/>
          <w:sz w:val="24"/>
          <w:szCs w:val="24"/>
        </w:rPr>
        <w:t>pendant les heures d’activité partielle, les salariés peuvent réaliser toute action de formation, notamment au titre du plan de formation ;</w:t>
      </w:r>
    </w:p>
    <w:p w:rsidR="006A416F" w:rsidRPr="001D502A" w:rsidRDefault="006A416F" w:rsidP="001302DE">
      <w:pPr>
        <w:spacing w:after="0"/>
        <w:ind w:left="720"/>
        <w:contextualSpacing/>
        <w:jc w:val="both"/>
        <w:rPr>
          <w:rFonts w:ascii="Times New Roman" w:hAnsi="Times New Roman"/>
          <w:sz w:val="24"/>
          <w:szCs w:val="24"/>
        </w:rPr>
      </w:pPr>
    </w:p>
    <w:p w:rsidR="006A416F" w:rsidRDefault="006A416F" w:rsidP="00723FB3">
      <w:pPr>
        <w:pStyle w:val="ListParagraph"/>
        <w:numPr>
          <w:ilvl w:val="0"/>
          <w:numId w:val="20"/>
        </w:numPr>
        <w:spacing w:after="0"/>
        <w:jc w:val="both"/>
        <w:rPr>
          <w:rFonts w:ascii="Times New Roman" w:hAnsi="Times New Roman"/>
          <w:sz w:val="24"/>
          <w:szCs w:val="24"/>
        </w:rPr>
      </w:pPr>
      <w:r w:rsidRPr="00723FB3">
        <w:rPr>
          <w:rFonts w:ascii="Times New Roman" w:hAnsi="Times New Roman"/>
          <w:sz w:val="24"/>
          <w:szCs w:val="24"/>
        </w:rPr>
        <w:t>les contreparties adaptées au bénéfice du dispositif mis en place après consultation des IRP (emploi, formation, GPEC, plan de redressement, modification de l’organisation du travail…)</w:t>
      </w:r>
      <w:r>
        <w:rPr>
          <w:rFonts w:ascii="Times New Roman" w:hAnsi="Times New Roman"/>
          <w:sz w:val="24"/>
          <w:szCs w:val="24"/>
        </w:rPr>
        <w:t xml:space="preserve"> qui pourront être modulées en fonction de la récurrence du recours au dispositif ;</w:t>
      </w:r>
    </w:p>
    <w:p w:rsidR="006A416F" w:rsidRDefault="006A416F">
      <w:pPr>
        <w:spacing w:after="0"/>
        <w:contextualSpacing/>
        <w:jc w:val="both"/>
        <w:rPr>
          <w:rFonts w:ascii="Times New Roman" w:hAnsi="Times New Roman"/>
          <w:sz w:val="24"/>
          <w:szCs w:val="24"/>
        </w:rPr>
      </w:pPr>
    </w:p>
    <w:p w:rsidR="006A416F" w:rsidRPr="00F0728A" w:rsidRDefault="006A416F">
      <w:pPr>
        <w:spacing w:after="0"/>
        <w:contextualSpacing/>
        <w:jc w:val="both"/>
        <w:rPr>
          <w:rFonts w:ascii="Times New Roman" w:hAnsi="Times New Roman"/>
          <w:sz w:val="24"/>
          <w:szCs w:val="24"/>
        </w:rPr>
      </w:pPr>
    </w:p>
    <w:p w:rsidR="006A416F" w:rsidRPr="00F0728A" w:rsidRDefault="006A416F">
      <w:pPr>
        <w:spacing w:after="0"/>
        <w:contextualSpacing/>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20</w:t>
      </w:r>
      <w:r w:rsidRPr="00F0728A">
        <w:rPr>
          <w:rFonts w:ascii="Times New Roman" w:hAnsi="Times New Roman"/>
          <w:b/>
          <w:sz w:val="24"/>
          <w:szCs w:val="24"/>
        </w:rPr>
        <w:t xml:space="preserve"> – Règles relatives au licenciement de 10 salariés et plus sur une même période de 30 jours dans les entreprises d’au moins 50 salariés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La procédure de licenciement collectif pour motif économique et le contenu du plan de sauvegarde de l’emploi sont fixés soit par accord collectif majoritaire soit par un document produit par l’employeur et homologué par le Dirrecte.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1/</w:t>
      </w:r>
      <w:r w:rsidRPr="00F0728A">
        <w:rPr>
          <w:rFonts w:ascii="Times New Roman" w:hAnsi="Times New Roman"/>
          <w:sz w:val="24"/>
          <w:szCs w:val="24"/>
        </w:rPr>
        <w:t xml:space="preserve"> un accord collectif signé par une ou plusieurs organisations ayant recueilli au moins 50% des suffrages exprimés au 1</w:t>
      </w:r>
      <w:r w:rsidRPr="00F0728A">
        <w:rPr>
          <w:rFonts w:ascii="Times New Roman" w:hAnsi="Times New Roman"/>
          <w:sz w:val="24"/>
          <w:szCs w:val="24"/>
          <w:vertAlign w:val="superscript"/>
        </w:rPr>
        <w:t>er</w:t>
      </w:r>
      <w:r w:rsidRPr="00F0728A">
        <w:rPr>
          <w:rFonts w:ascii="Times New Roman" w:hAnsi="Times New Roman"/>
          <w:sz w:val="24"/>
          <w:szCs w:val="24"/>
        </w:rPr>
        <w:t xml:space="preserve"> tour des précédentes élections professionnelles (titulaires) peut fixer, par dérogation aux dispositions concernées du chapitre III du Titre III du Livre II du code du travail, des procédures applicables à un licenciement collectif pour motif économique de 10 salariés et plus sur une même période de 30 jours dans une entreprise d’au moins 50 salariés, en ce qui concerne, en particulier, le nombre et le calendrier des réunions avec les IRP, la liste des documents à produire, les conditions et délais de recours à l’expert, l’ordre des licenciements, et le contenu du plan de sauvegarde de l’emploi.</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L’accord précise la date à partir de laquelle peuvent être mis en œuvre les reclassements internes.</w:t>
      </w: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 xml:space="preserve">L’ensemble des délais fixés par l’accord sont des délais préfixes, non susceptibles de suspension ou de dépassement </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Toute action en contestation de la validité de l’accord doit être formée dans un délai de 3 mois à compter de son dépôt. Toute contestation portée par le salarié, visant le motif du licenciement ou le non-respect par l’employeur des dispositions de l’accord, doit être formée dans un délai de 12 mois suivant la notification du licenciement.</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b/>
          <w:sz w:val="24"/>
          <w:szCs w:val="24"/>
        </w:rPr>
        <w:t>2/</w:t>
      </w:r>
      <w:r w:rsidRPr="00F0728A">
        <w:rPr>
          <w:rFonts w:ascii="Times New Roman" w:hAnsi="Times New Roman"/>
          <w:sz w:val="24"/>
          <w:szCs w:val="24"/>
        </w:rPr>
        <w:t xml:space="preserve"> Lorsque l’employeur recourt à la procédure d’homologation, il établit un document qu’il soumet à l’avis du comité d’entreprise, préalablement à sa transmission au Dirrecte.</w:t>
      </w:r>
    </w:p>
    <w:p w:rsidR="006A416F" w:rsidRPr="00F0728A" w:rsidRDefault="006A416F">
      <w:pPr>
        <w:spacing w:after="0"/>
        <w:jc w:val="both"/>
        <w:rPr>
          <w:rFonts w:ascii="Times New Roman" w:hAnsi="Times New Roman"/>
          <w:sz w:val="24"/>
          <w:szCs w:val="24"/>
        </w:rPr>
      </w:pPr>
    </w:p>
    <w:p w:rsidR="006A416F" w:rsidRPr="00F0728A" w:rsidRDefault="006A416F" w:rsidP="00E05B06">
      <w:pPr>
        <w:spacing w:after="0"/>
        <w:jc w:val="both"/>
        <w:rPr>
          <w:rFonts w:ascii="Times New Roman" w:hAnsi="Times New Roman"/>
          <w:sz w:val="24"/>
          <w:szCs w:val="24"/>
        </w:rPr>
      </w:pPr>
      <w:r w:rsidRPr="00F0728A">
        <w:rPr>
          <w:rFonts w:ascii="Times New Roman" w:hAnsi="Times New Roman"/>
          <w:sz w:val="24"/>
          <w:szCs w:val="24"/>
        </w:rPr>
        <w:t>Ce document précise le nombre et le calendrier des réunions des instances représentatives du personnel, les délais de convocation, la liste des</w:t>
      </w:r>
      <w:r w:rsidRPr="00E05B06">
        <w:rPr>
          <w:rFonts w:ascii="Times New Roman" w:hAnsi="Times New Roman"/>
          <w:sz w:val="24"/>
          <w:szCs w:val="24"/>
        </w:rPr>
        <w:t xml:space="preserve"> documents à produire</w:t>
      </w:r>
      <w:r w:rsidRPr="00F0728A">
        <w:rPr>
          <w:rFonts w:ascii="Times New Roman" w:hAnsi="Times New Roman"/>
          <w:sz w:val="24"/>
          <w:szCs w:val="24"/>
        </w:rPr>
        <w:t xml:space="preserve"> ainsi que le projet de PSE. L’administration se prononce dans un délai de 21 jours sur le document et le projet de plan de sauvegarde de l’emploi. A défaut de réponse expresse dans ce délai, ils sont réputés homologués.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A compter de la date de présentation du document au CE, la procédure s’inscrit dans un délai maximum préfixe, non susceptible de suspension ou de dépassement :</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 xml:space="preserve">de 2 mois pour les projets de  licenciements collectifs pour motif économique concernant de 10 à 99 salariés, </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de 3 mois pour les projets de licenciements collectifs pour motif économique concernant de 100 à 249 salariés,</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de 4 mois pour les projets de licenciements collectifs pour motif économique concernant 250 salariés et plus.</w:t>
      </w:r>
    </w:p>
    <w:p w:rsidR="006A416F" w:rsidRPr="00F0728A" w:rsidRDefault="006A416F">
      <w:pPr>
        <w:spacing w:after="0"/>
        <w:ind w:left="36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La mise en œuvre des reclassements internes peut débuter à compter de l’obtention de l’homologation.</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En cas de refus d’homologation de la procédure par l’administration, celui-ci est motivé. L’entreprise doit alors établir un nouveau document et le soumettre à la procédure d’homologation visée au premier alinéa. Le délai maximum mentionné au troisième alinéa est alors suspendu jusqu’à l’homologation, par l’administration, du document établi par l’employeur.</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Toute action en contestation de l’homologation doit être formée dans un délai de 3 mois à compter de son obtention. Toute contestation par le salarié visant le motif du licenciement ou le non-respect par l’employeur des dispositions du document ayant fait l’objet d’une homologation doit être formée dans un délai de 12 mois suivant la notification du licenciement.</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p>
    <w:p w:rsidR="006A416F" w:rsidRPr="00F0728A" w:rsidRDefault="006A416F" w:rsidP="00E05B06">
      <w:pPr>
        <w:spacing w:after="0"/>
        <w:contextualSpacing/>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21</w:t>
      </w:r>
      <w:r>
        <w:rPr>
          <w:rFonts w:ascii="Times New Roman" w:hAnsi="Times New Roman"/>
          <w:b/>
          <w:sz w:val="24"/>
          <w:szCs w:val="24"/>
        </w:rPr>
        <w:t xml:space="preserve"> </w:t>
      </w:r>
      <w:r w:rsidRPr="007C4FF0">
        <w:rPr>
          <w:rFonts w:ascii="Times New Roman" w:hAnsi="Times New Roman"/>
          <w:b/>
          <w:sz w:val="24"/>
          <w:szCs w:val="24"/>
        </w:rPr>
        <w:t>–</w:t>
      </w:r>
      <w:r w:rsidRPr="00F0728A">
        <w:rPr>
          <w:rFonts w:ascii="Times New Roman" w:hAnsi="Times New Roman"/>
          <w:b/>
          <w:sz w:val="24"/>
          <w:szCs w:val="24"/>
        </w:rPr>
        <w:t xml:space="preserve"> Congé de reclassement</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Les parties signataires proposent que la durée maximale du congé de reclassement, prévue à l’article L.1233-71 du code du travail, soit portée de 9 à 12 mois, afin d’harmoniser sa durée avec celle des contrats de sécurisation professionnelle.</w:t>
      </w:r>
    </w:p>
    <w:p w:rsidR="006A416F" w:rsidRPr="00DE4F83" w:rsidRDefault="006A416F">
      <w:pPr>
        <w:spacing w:after="0"/>
        <w:jc w:val="both"/>
        <w:rPr>
          <w:rFonts w:ascii="Times New Roman" w:hAnsi="Times New Roman"/>
          <w:b/>
          <w:caps/>
          <w:sz w:val="24"/>
          <w:szCs w:val="24"/>
          <w:u w:val="single"/>
        </w:rPr>
      </w:pPr>
      <w:r w:rsidRPr="00DE4F83">
        <w:rPr>
          <w:rFonts w:ascii="Times New Roman" w:hAnsi="Times New Roman"/>
          <w:b/>
          <w:caps/>
          <w:sz w:val="24"/>
          <w:szCs w:val="24"/>
          <w:u w:val="single"/>
        </w:rPr>
        <w:t>Titre IV – Développer l</w:t>
      </w:r>
      <w:r>
        <w:rPr>
          <w:rFonts w:ascii="Times New Roman" w:hAnsi="Times New Roman"/>
          <w:b/>
          <w:caps/>
          <w:sz w:val="24"/>
          <w:szCs w:val="24"/>
          <w:u w:val="single"/>
        </w:rPr>
        <w:t>’</w:t>
      </w:r>
      <w:r w:rsidRPr="00DE4F83">
        <w:rPr>
          <w:rFonts w:ascii="Times New Roman" w:hAnsi="Times New Roman"/>
          <w:b/>
          <w:caps/>
          <w:sz w:val="24"/>
          <w:szCs w:val="24"/>
          <w:u w:val="single"/>
        </w:rPr>
        <w:t>emploi en adaptant la forme du contrat de travail à l</w:t>
      </w:r>
      <w:r>
        <w:rPr>
          <w:rFonts w:ascii="Times New Roman" w:hAnsi="Times New Roman"/>
          <w:b/>
          <w:caps/>
          <w:sz w:val="24"/>
          <w:szCs w:val="24"/>
          <w:u w:val="single"/>
        </w:rPr>
        <w:t>’</w:t>
      </w:r>
      <w:r w:rsidRPr="00DE4F83">
        <w:rPr>
          <w:rFonts w:ascii="Times New Roman" w:hAnsi="Times New Roman"/>
          <w:b/>
          <w:caps/>
          <w:sz w:val="24"/>
          <w:szCs w:val="24"/>
          <w:u w:val="single"/>
        </w:rPr>
        <w:t>activité économique de l</w:t>
      </w:r>
      <w:r>
        <w:rPr>
          <w:rFonts w:ascii="Times New Roman" w:hAnsi="Times New Roman"/>
          <w:b/>
          <w:caps/>
          <w:sz w:val="24"/>
          <w:szCs w:val="24"/>
          <w:u w:val="single"/>
        </w:rPr>
        <w:t>’</w:t>
      </w:r>
      <w:r w:rsidRPr="00DE4F83">
        <w:rPr>
          <w:rFonts w:ascii="Times New Roman" w:hAnsi="Times New Roman"/>
          <w:b/>
          <w:caps/>
          <w:sz w:val="24"/>
          <w:szCs w:val="24"/>
          <w:u w:val="single"/>
        </w:rPr>
        <w:t>entreprise</w:t>
      </w:r>
    </w:p>
    <w:p w:rsidR="006A416F" w:rsidRPr="00F0728A" w:rsidRDefault="006A416F">
      <w:pPr>
        <w:spacing w:after="0"/>
        <w:jc w:val="both"/>
        <w:rPr>
          <w:rFonts w:ascii="Times New Roman" w:hAnsi="Times New Roman"/>
          <w:b/>
          <w:sz w:val="24"/>
          <w:szCs w:val="24"/>
          <w:u w:val="single"/>
        </w:rPr>
      </w:pPr>
    </w:p>
    <w:p w:rsidR="006A416F" w:rsidRPr="00F0728A" w:rsidRDefault="006A416F">
      <w:pPr>
        <w:spacing w:after="0"/>
        <w:jc w:val="both"/>
        <w:rPr>
          <w:rFonts w:ascii="Times New Roman" w:hAnsi="Times New Roman"/>
          <w:b/>
          <w:sz w:val="24"/>
          <w:szCs w:val="24"/>
          <w:u w:val="single"/>
        </w:rPr>
      </w:pPr>
    </w:p>
    <w:p w:rsidR="006A416F" w:rsidRPr="00F0728A" w:rsidRDefault="006A416F" w:rsidP="00E05B06">
      <w:pPr>
        <w:spacing w:after="0"/>
        <w:jc w:val="both"/>
        <w:rPr>
          <w:rFonts w:ascii="Times New Roman" w:hAnsi="Times New Roman"/>
          <w:b/>
          <w:sz w:val="24"/>
          <w:szCs w:val="24"/>
        </w:rPr>
      </w:pPr>
      <w:r w:rsidRPr="00DE4F83">
        <w:rPr>
          <w:rFonts w:ascii="Times New Roman" w:hAnsi="Times New Roman"/>
          <w:b/>
          <w:sz w:val="24"/>
          <w:szCs w:val="24"/>
          <w:u w:val="single"/>
        </w:rPr>
        <w:t xml:space="preserve">Article </w:t>
      </w:r>
      <w:r>
        <w:rPr>
          <w:rFonts w:ascii="Times New Roman" w:hAnsi="Times New Roman"/>
          <w:b/>
          <w:sz w:val="24"/>
          <w:szCs w:val="24"/>
          <w:u w:val="single"/>
        </w:rPr>
        <w:t xml:space="preserve">22 </w:t>
      </w:r>
      <w:r w:rsidRPr="007C4FF0">
        <w:rPr>
          <w:rFonts w:ascii="Times New Roman" w:hAnsi="Times New Roman"/>
          <w:b/>
          <w:sz w:val="24"/>
          <w:szCs w:val="24"/>
        </w:rPr>
        <w:t>–</w:t>
      </w:r>
      <w:r w:rsidRPr="00E05B06">
        <w:rPr>
          <w:rFonts w:ascii="Times New Roman" w:hAnsi="Times New Roman"/>
          <w:b/>
          <w:sz w:val="24"/>
          <w:szCs w:val="24"/>
        </w:rPr>
        <w:t xml:space="preserve"> </w:t>
      </w:r>
      <w:r>
        <w:rPr>
          <w:rFonts w:ascii="Times New Roman" w:hAnsi="Times New Roman"/>
          <w:b/>
          <w:sz w:val="24"/>
          <w:szCs w:val="24"/>
        </w:rPr>
        <w:t>Expérimenter</w:t>
      </w:r>
      <w:r w:rsidRPr="00F0728A">
        <w:rPr>
          <w:rFonts w:ascii="Times New Roman" w:hAnsi="Times New Roman"/>
          <w:b/>
          <w:sz w:val="24"/>
          <w:szCs w:val="24"/>
        </w:rPr>
        <w:t xml:space="preserve"> </w:t>
      </w:r>
      <w:r>
        <w:rPr>
          <w:rFonts w:ascii="Times New Roman" w:hAnsi="Times New Roman"/>
          <w:b/>
          <w:sz w:val="24"/>
          <w:szCs w:val="24"/>
        </w:rPr>
        <w:t>le</w:t>
      </w:r>
      <w:r w:rsidRPr="00F0728A">
        <w:rPr>
          <w:rFonts w:ascii="Times New Roman" w:hAnsi="Times New Roman"/>
          <w:b/>
          <w:sz w:val="24"/>
          <w:szCs w:val="24"/>
        </w:rPr>
        <w:t xml:space="preserve"> contrat de travail intermittent</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Pr>
          <w:rFonts w:ascii="Times New Roman" w:hAnsi="Times New Roman"/>
          <w:sz w:val="24"/>
          <w:szCs w:val="24"/>
        </w:rPr>
        <w:t>Sans préjudice des accords collectifs existants, l</w:t>
      </w:r>
      <w:r w:rsidRPr="00F0728A">
        <w:rPr>
          <w:rFonts w:ascii="Times New Roman" w:hAnsi="Times New Roman"/>
          <w:sz w:val="24"/>
          <w:szCs w:val="24"/>
        </w:rPr>
        <w:t>es parties signataires conviennent de l’ouverture</w:t>
      </w:r>
      <w:r>
        <w:rPr>
          <w:rFonts w:ascii="Times New Roman" w:hAnsi="Times New Roman"/>
          <w:sz w:val="24"/>
          <w:szCs w:val="24"/>
        </w:rPr>
        <w:t>, à titre expérimental,</w:t>
      </w:r>
      <w:r w:rsidRPr="00F0728A">
        <w:rPr>
          <w:rFonts w:ascii="Times New Roman" w:hAnsi="Times New Roman"/>
          <w:sz w:val="24"/>
          <w:szCs w:val="24"/>
        </w:rPr>
        <w:t xml:space="preserve"> aux entreprises de moins de 50 salariés, des secteurs </w:t>
      </w:r>
      <w:r>
        <w:rPr>
          <w:rFonts w:ascii="Times New Roman" w:hAnsi="Times New Roman"/>
          <w:sz w:val="24"/>
          <w:szCs w:val="24"/>
        </w:rPr>
        <w:t>mentionnés en annexe au</w:t>
      </w:r>
      <w:r w:rsidRPr="00F0728A">
        <w:rPr>
          <w:rFonts w:ascii="Times New Roman" w:hAnsi="Times New Roman"/>
          <w:sz w:val="24"/>
          <w:szCs w:val="24"/>
        </w:rPr>
        <w:t xml:space="preserve"> présent accord, d’un recours direct au contrat de travail </w:t>
      </w:r>
      <w:r>
        <w:rPr>
          <w:rFonts w:ascii="Times New Roman" w:hAnsi="Times New Roman"/>
          <w:sz w:val="24"/>
          <w:szCs w:val="24"/>
        </w:rPr>
        <w:t xml:space="preserve">intermittent (défini aux articles L.3123-31 à L.3123-37 du code du travail) après information des délégués du personnel, </w:t>
      </w:r>
      <w:r w:rsidRPr="00F0728A">
        <w:rPr>
          <w:rFonts w:ascii="Times New Roman" w:hAnsi="Times New Roman"/>
          <w:sz w:val="24"/>
          <w:szCs w:val="24"/>
        </w:rPr>
        <w:t>afin de pourvoir des emplois permanents comportant, par nature, une alternance de périodes travaillées et non travaillées. Les dispositions de l’article L. 3123-31 du code du travail devraient être modifiées en conséquence.</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sidRPr="00F0728A">
        <w:rPr>
          <w:rFonts w:ascii="Times New Roman" w:hAnsi="Times New Roman"/>
          <w:sz w:val="24"/>
          <w:szCs w:val="24"/>
        </w:rPr>
        <w:t>Par ailleurs, pour les embauches effectuées dans ce cadre dans les entreprises de moins de 50 salariés, afin d’éviter des distorsions importantes en ce qui concerne le montant de la rémunération versée mensuellement, il devrait être ajouté une mention obligatoire dans le contrat de travail intermittent. Celle-ci préciserait, par référence à l’actuel article L.3123-37 du code du travail, que la rémunération versée mensuellement aux salariés titulaires d’un contrat de travail intermittent peut être indépendante de l’horaire réel, et notamment être « lissée » tout au long de l’année.</w:t>
      </w:r>
    </w:p>
    <w:p w:rsidR="006A416F"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Pr>
          <w:rFonts w:ascii="Times New Roman" w:hAnsi="Times New Roman"/>
          <w:sz w:val="24"/>
          <w:szCs w:val="24"/>
        </w:rPr>
        <w:t xml:space="preserve">Un bilan-évaluation de l’expérimentation sera effectué avant le 31 décembre 2014 en concertation avec les pouvoirs publics. </w:t>
      </w:r>
    </w:p>
    <w:p w:rsidR="006A416F"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DE4F83" w:rsidRDefault="006A416F">
      <w:pPr>
        <w:spacing w:after="0"/>
        <w:jc w:val="both"/>
        <w:rPr>
          <w:rFonts w:ascii="Times New Roman" w:hAnsi="Times New Roman"/>
          <w:b/>
          <w:caps/>
          <w:sz w:val="24"/>
          <w:szCs w:val="24"/>
          <w:u w:val="single"/>
        </w:rPr>
      </w:pPr>
      <w:r w:rsidRPr="00F0728A">
        <w:rPr>
          <w:rFonts w:ascii="Times New Roman" w:hAnsi="Times New Roman"/>
          <w:b/>
          <w:caps/>
          <w:sz w:val="24"/>
          <w:szCs w:val="24"/>
          <w:u w:val="single"/>
        </w:rPr>
        <w:t>Titre V –rationali</w:t>
      </w:r>
      <w:r>
        <w:rPr>
          <w:rFonts w:ascii="Times New Roman" w:hAnsi="Times New Roman"/>
          <w:b/>
          <w:caps/>
          <w:sz w:val="24"/>
          <w:szCs w:val="24"/>
          <w:u w:val="single"/>
        </w:rPr>
        <w:t>SER</w:t>
      </w:r>
      <w:r w:rsidRPr="00F0728A">
        <w:rPr>
          <w:rFonts w:ascii="Times New Roman" w:hAnsi="Times New Roman"/>
          <w:b/>
          <w:caps/>
          <w:sz w:val="24"/>
          <w:szCs w:val="24"/>
          <w:u w:val="single"/>
        </w:rPr>
        <w:t xml:space="preserve"> les procédures de contentieux</w:t>
      </w:r>
      <w:r w:rsidRPr="00DE4F83">
        <w:rPr>
          <w:rFonts w:ascii="Times New Roman" w:hAnsi="Times New Roman"/>
          <w:b/>
          <w:caps/>
          <w:sz w:val="24"/>
          <w:szCs w:val="24"/>
          <w:u w:val="single"/>
        </w:rPr>
        <w:t xml:space="preserve"> judiciaire</w:t>
      </w:r>
    </w:p>
    <w:p w:rsidR="006A416F" w:rsidRDefault="006A416F">
      <w:pPr>
        <w:spacing w:after="0"/>
        <w:jc w:val="both"/>
        <w:rPr>
          <w:rFonts w:ascii="Times New Roman" w:hAnsi="Times New Roman"/>
          <w:smallCaps/>
          <w:sz w:val="24"/>
          <w:szCs w:val="24"/>
        </w:rPr>
      </w:pPr>
    </w:p>
    <w:p w:rsidR="006A416F" w:rsidRDefault="006A416F">
      <w:pPr>
        <w:spacing w:after="0"/>
        <w:jc w:val="both"/>
        <w:rPr>
          <w:rFonts w:ascii="Times New Roman" w:hAnsi="Times New Roman"/>
          <w:smallCaps/>
          <w:sz w:val="24"/>
          <w:szCs w:val="24"/>
        </w:rPr>
      </w:pPr>
    </w:p>
    <w:p w:rsidR="006A416F" w:rsidRPr="00723FB3" w:rsidRDefault="006A416F">
      <w:pPr>
        <w:spacing w:after="0"/>
        <w:jc w:val="both"/>
        <w:rPr>
          <w:rFonts w:ascii="Times New Roman" w:hAnsi="Times New Roman"/>
          <w:b/>
          <w:sz w:val="24"/>
          <w:szCs w:val="24"/>
        </w:rPr>
      </w:pPr>
      <w:r w:rsidRPr="00723FB3">
        <w:rPr>
          <w:rFonts w:ascii="Times New Roman" w:hAnsi="Times New Roman"/>
          <w:b/>
          <w:sz w:val="24"/>
          <w:szCs w:val="24"/>
        </w:rPr>
        <w:t xml:space="preserve">Article </w:t>
      </w:r>
      <w:r>
        <w:rPr>
          <w:rFonts w:ascii="Times New Roman" w:hAnsi="Times New Roman"/>
          <w:b/>
          <w:sz w:val="24"/>
          <w:szCs w:val="24"/>
        </w:rPr>
        <w:t>23</w:t>
      </w:r>
      <w:r w:rsidRPr="00723FB3">
        <w:rPr>
          <w:rFonts w:ascii="Times New Roman" w:hAnsi="Times New Roman"/>
          <w:b/>
          <w:sz w:val="24"/>
          <w:szCs w:val="24"/>
        </w:rPr>
        <w:t xml:space="preserve"> – </w:t>
      </w:r>
      <w:r>
        <w:rPr>
          <w:rFonts w:ascii="Times New Roman" w:hAnsi="Times New Roman"/>
          <w:b/>
          <w:sz w:val="24"/>
          <w:szCs w:val="24"/>
        </w:rPr>
        <w:t>O</w:t>
      </w:r>
      <w:r w:rsidRPr="00723FB3">
        <w:rPr>
          <w:rFonts w:ascii="Times New Roman" w:hAnsi="Times New Roman"/>
          <w:b/>
          <w:sz w:val="24"/>
          <w:szCs w:val="24"/>
        </w:rPr>
        <w:t>rdre des licenciements</w:t>
      </w:r>
    </w:p>
    <w:p w:rsidR="006A416F"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sz w:val="24"/>
          <w:szCs w:val="24"/>
        </w:rPr>
      </w:pPr>
      <w:r>
        <w:rPr>
          <w:rFonts w:ascii="Times New Roman" w:hAnsi="Times New Roman"/>
          <w:sz w:val="24"/>
          <w:szCs w:val="24"/>
        </w:rPr>
        <w:t>A défaut d’accord de branche ou d’entreprise en disposant autrement, en cas de licenciement pour motif économique, l’employeur est fondé, pour fixer l’ordre des licenciements, à privilégier la compétence professionnelle sous réserve de tenir également compte, après consultation du CE, des autres critères fixés par la loi.</w:t>
      </w:r>
    </w:p>
    <w:p w:rsidR="006A416F" w:rsidRPr="00F0728A" w:rsidRDefault="006A416F">
      <w:pPr>
        <w:spacing w:after="0"/>
        <w:jc w:val="both"/>
        <w:rPr>
          <w:rFonts w:ascii="Times New Roman" w:hAnsi="Times New Roman"/>
          <w:sz w:val="24"/>
          <w:szCs w:val="24"/>
        </w:rPr>
      </w:pPr>
    </w:p>
    <w:p w:rsidR="006A416F"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24</w:t>
      </w:r>
      <w:r w:rsidRPr="00F0728A">
        <w:rPr>
          <w:rFonts w:ascii="Times New Roman" w:hAnsi="Times New Roman"/>
          <w:b/>
          <w:sz w:val="24"/>
          <w:szCs w:val="24"/>
        </w:rPr>
        <w:t xml:space="preserve"> - </w:t>
      </w:r>
      <w:r>
        <w:rPr>
          <w:rFonts w:ascii="Times New Roman" w:hAnsi="Times New Roman"/>
          <w:b/>
          <w:sz w:val="24"/>
          <w:szCs w:val="24"/>
        </w:rPr>
        <w:t xml:space="preserve"> Sécurité juridique des relations de travail</w:t>
      </w:r>
    </w:p>
    <w:p w:rsidR="006A416F" w:rsidRPr="0003128A" w:rsidRDefault="006A416F">
      <w:pPr>
        <w:spacing w:after="0"/>
        <w:jc w:val="both"/>
        <w:rPr>
          <w:rFonts w:ascii="Times New Roman" w:hAnsi="Times New Roman"/>
          <w:sz w:val="24"/>
          <w:szCs w:val="24"/>
        </w:rPr>
      </w:pPr>
      <w:r w:rsidRPr="0003128A">
        <w:rPr>
          <w:rFonts w:ascii="Times New Roman" w:hAnsi="Times New Roman"/>
          <w:sz w:val="24"/>
          <w:szCs w:val="24"/>
        </w:rPr>
        <w:t>Les signataires conviennent que la sécurité juridique des relations de travail peut être compromise si des irrégularités de forme sont assimilées à des irrégularités de fond.</w:t>
      </w:r>
    </w:p>
    <w:p w:rsidR="006A416F" w:rsidRPr="0003128A" w:rsidRDefault="006A416F">
      <w:pPr>
        <w:spacing w:after="0"/>
        <w:jc w:val="both"/>
        <w:rPr>
          <w:rFonts w:ascii="Times New Roman" w:hAnsi="Times New Roman"/>
          <w:sz w:val="24"/>
          <w:szCs w:val="24"/>
        </w:rPr>
      </w:pPr>
      <w:r w:rsidRPr="0003128A">
        <w:rPr>
          <w:rFonts w:ascii="Times New Roman" w:hAnsi="Times New Roman"/>
          <w:sz w:val="24"/>
          <w:szCs w:val="24"/>
        </w:rPr>
        <w:t>Dès lors, ils conviennent d’examiner, avec le concours des pouvoirs publics, les cas dans lesquels les irrégularités de forme risquent de primer sur le fond. Au vue de cette expertise les signataires se retrouveront pour se saisir des éventuels aménagements nécessaires dans le respect des principes généraux du droit et de la Constitution.</w:t>
      </w:r>
    </w:p>
    <w:p w:rsidR="006A416F" w:rsidRPr="00F0728A" w:rsidRDefault="006A416F">
      <w:pPr>
        <w:spacing w:after="0"/>
        <w:jc w:val="both"/>
        <w:rPr>
          <w:rFonts w:ascii="Times New Roman" w:hAnsi="Times New Roman"/>
          <w:b/>
          <w:sz w:val="24"/>
          <w:szCs w:val="24"/>
        </w:rPr>
      </w:pPr>
    </w:p>
    <w:p w:rsidR="006A416F" w:rsidRPr="00990128"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25</w:t>
      </w:r>
      <w:r w:rsidRPr="00F0728A">
        <w:rPr>
          <w:rFonts w:ascii="Times New Roman" w:hAnsi="Times New Roman"/>
          <w:b/>
          <w:sz w:val="24"/>
          <w:szCs w:val="24"/>
        </w:rPr>
        <w:t xml:space="preserve"> – Faciliter la conciliation prud’homale </w:t>
      </w:r>
    </w:p>
    <w:p w:rsidR="006A416F" w:rsidRPr="00F0728A" w:rsidRDefault="006A416F">
      <w:pPr>
        <w:spacing w:after="0"/>
        <w:jc w:val="both"/>
        <w:rPr>
          <w:rFonts w:ascii="Times New Roman" w:hAnsi="Times New Roman"/>
          <w:b/>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En cas de contentieux judiciaire portant sur la contestation du licenciement, les parties peuvent, lors de l’audience devant le Bureau de Conciliation, choisir de mettre un terme définitif au litige qui les oppose en contrepartie du versement, par le défendeur au demandeur, d’une indemnité forfaitaire calculée en fonction de l’ancienneté de ce dernier, et ayant le caractère social et fiscal de dommages et intérêts.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Cette indemnité forfaitaire vaut réparation de l’ensemble des préjudices liés à la rupture du contrat de travail, et son montant est fixé à :</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entre 0 et 2 ans d’ancienneté : 2 mois de salaire</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entre 2 et 8 ans d’ancienneté : 4 mois de salaire</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 xml:space="preserve">entre 8 et 15 ans d’ancienneté : </w:t>
      </w:r>
      <w:r>
        <w:rPr>
          <w:rFonts w:ascii="Times New Roman" w:hAnsi="Times New Roman"/>
          <w:sz w:val="24"/>
          <w:szCs w:val="24"/>
        </w:rPr>
        <w:t>8</w:t>
      </w:r>
      <w:r w:rsidRPr="00F0728A">
        <w:rPr>
          <w:rFonts w:ascii="Times New Roman" w:hAnsi="Times New Roman"/>
          <w:sz w:val="24"/>
          <w:szCs w:val="24"/>
        </w:rPr>
        <w:t xml:space="preserve"> mois de salaire</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 xml:space="preserve">entre 15 et 25 ans d’ancienneté : </w:t>
      </w:r>
      <w:r>
        <w:rPr>
          <w:rFonts w:ascii="Times New Roman" w:hAnsi="Times New Roman"/>
          <w:sz w:val="24"/>
          <w:szCs w:val="24"/>
        </w:rPr>
        <w:t>10</w:t>
      </w:r>
      <w:r w:rsidRPr="00F0728A">
        <w:rPr>
          <w:rFonts w:ascii="Times New Roman" w:hAnsi="Times New Roman"/>
          <w:sz w:val="24"/>
          <w:szCs w:val="24"/>
        </w:rPr>
        <w:t xml:space="preserve"> mois de salaire</w:t>
      </w:r>
    </w:p>
    <w:p w:rsidR="006A416F" w:rsidRPr="00F0728A" w:rsidRDefault="006A416F">
      <w:pPr>
        <w:pStyle w:val="ListParagraph"/>
        <w:numPr>
          <w:ilvl w:val="0"/>
          <w:numId w:val="18"/>
        </w:numPr>
        <w:spacing w:after="0"/>
        <w:jc w:val="both"/>
        <w:rPr>
          <w:rFonts w:ascii="Times New Roman" w:hAnsi="Times New Roman"/>
          <w:sz w:val="24"/>
          <w:szCs w:val="24"/>
        </w:rPr>
      </w:pPr>
      <w:r w:rsidRPr="00F0728A">
        <w:rPr>
          <w:rFonts w:ascii="Times New Roman" w:hAnsi="Times New Roman"/>
          <w:sz w:val="24"/>
          <w:szCs w:val="24"/>
        </w:rPr>
        <w:t>au-delà de 25 ans d’ancienneté : 1</w:t>
      </w:r>
      <w:r>
        <w:rPr>
          <w:rFonts w:ascii="Times New Roman" w:hAnsi="Times New Roman"/>
          <w:sz w:val="24"/>
          <w:szCs w:val="24"/>
        </w:rPr>
        <w:t>4</w:t>
      </w:r>
      <w:r w:rsidRPr="00F0728A">
        <w:rPr>
          <w:rFonts w:ascii="Times New Roman" w:hAnsi="Times New Roman"/>
          <w:sz w:val="24"/>
          <w:szCs w:val="24"/>
        </w:rPr>
        <w:t xml:space="preserve"> mois de salaire</w:t>
      </w:r>
    </w:p>
    <w:p w:rsidR="006A416F" w:rsidRPr="00F0728A" w:rsidRDefault="006A416F">
      <w:pPr>
        <w:spacing w:after="0"/>
        <w:ind w:left="36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La conciliation intervenue en cette forme a, entre les parties au litige, autorité de la chose jugée en dernier ressort.</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Toute demande portée devant les prud’hommes</w:t>
      </w:r>
      <w:r w:rsidRPr="00F0728A">
        <w:rPr>
          <w:rStyle w:val="FootnoteReference"/>
          <w:rFonts w:ascii="Times New Roman" w:hAnsi="Times New Roman"/>
          <w:sz w:val="24"/>
          <w:szCs w:val="24"/>
        </w:rPr>
        <w:footnoteReference w:id="13"/>
      </w:r>
      <w:r w:rsidRPr="00F0728A">
        <w:rPr>
          <w:rFonts w:ascii="Times New Roman" w:hAnsi="Times New Roman"/>
          <w:sz w:val="24"/>
          <w:szCs w:val="24"/>
        </w:rPr>
        <w:t xml:space="preserve"> est inscrite au rôle du bureau de conciliation dans les deux mois de son dépôt au greffe.</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A défaut de conciliation, l’affaire est portée devant le Bureau de Jugement, qui doit former sa conviction au vu des éléments fournis par les parties, et justifier du montant des condamnations qu’il prononce en réparation du préjudice subi par le demandeur.</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Pr="00F0728A" w:rsidRDefault="006A416F">
      <w:pPr>
        <w:spacing w:after="0"/>
        <w:contextualSpacing/>
        <w:jc w:val="both"/>
        <w:rPr>
          <w:rFonts w:ascii="Times New Roman" w:hAnsi="Times New Roman"/>
          <w:b/>
          <w:sz w:val="24"/>
          <w:szCs w:val="24"/>
        </w:rPr>
      </w:pPr>
      <w:r w:rsidRPr="00F0728A">
        <w:rPr>
          <w:rFonts w:ascii="Times New Roman" w:hAnsi="Times New Roman"/>
          <w:b/>
          <w:sz w:val="24"/>
          <w:szCs w:val="24"/>
          <w:u w:val="single"/>
        </w:rPr>
        <w:t xml:space="preserve">Article </w:t>
      </w:r>
      <w:r>
        <w:rPr>
          <w:rFonts w:ascii="Times New Roman" w:hAnsi="Times New Roman"/>
          <w:b/>
          <w:sz w:val="24"/>
          <w:szCs w:val="24"/>
          <w:u w:val="single"/>
        </w:rPr>
        <w:t>26</w:t>
      </w:r>
      <w:r w:rsidRPr="00F0728A">
        <w:rPr>
          <w:rFonts w:ascii="Times New Roman" w:hAnsi="Times New Roman"/>
          <w:b/>
          <w:sz w:val="24"/>
          <w:szCs w:val="24"/>
          <w:u w:val="single"/>
        </w:rPr>
        <w:t xml:space="preserve"> </w:t>
      </w:r>
      <w:r w:rsidRPr="00F0728A">
        <w:rPr>
          <w:rFonts w:ascii="Times New Roman" w:hAnsi="Times New Roman"/>
          <w:b/>
          <w:sz w:val="24"/>
          <w:szCs w:val="24"/>
        </w:rPr>
        <w:t>- Délais de prescription</w:t>
      </w:r>
    </w:p>
    <w:p w:rsidR="006A416F" w:rsidRPr="00F0728A" w:rsidRDefault="006A416F">
      <w:pPr>
        <w:spacing w:after="0"/>
        <w:contextualSpacing/>
        <w:jc w:val="both"/>
        <w:rPr>
          <w:rFonts w:ascii="Times New Roman" w:hAnsi="Times New Roman"/>
          <w:sz w:val="24"/>
          <w:szCs w:val="24"/>
        </w:rPr>
      </w:pPr>
    </w:p>
    <w:p w:rsidR="006A416F" w:rsidRDefault="006A416F" w:rsidP="001302DE">
      <w:pPr>
        <w:spacing w:after="0"/>
        <w:contextualSpacing/>
        <w:jc w:val="both"/>
        <w:rPr>
          <w:rFonts w:ascii="Times New Roman" w:hAnsi="Times New Roman"/>
          <w:sz w:val="24"/>
          <w:szCs w:val="24"/>
        </w:rPr>
      </w:pPr>
      <w:r>
        <w:rPr>
          <w:rFonts w:ascii="Times New Roman" w:hAnsi="Times New Roman"/>
          <w:sz w:val="24"/>
          <w:szCs w:val="24"/>
        </w:rPr>
        <w:t>Sans préjudice des délais de prescription plus courts fixés par le code du travail, aucune action ayant pour objet une réclamation portant sur l’exécution ou la rupture du contrat de travail ne peut être engagée devant la juridiction compétente au-delà d’un délai de 24 mois</w:t>
      </w:r>
      <w:r>
        <w:rPr>
          <w:rStyle w:val="FootnoteReference"/>
          <w:rFonts w:ascii="Times New Roman" w:hAnsi="Times New Roman"/>
          <w:sz w:val="24"/>
          <w:szCs w:val="24"/>
        </w:rPr>
        <w:footnoteReference w:id="14"/>
      </w:r>
      <w:r>
        <w:rPr>
          <w:rFonts w:ascii="Times New Roman" w:hAnsi="Times New Roman"/>
          <w:sz w:val="24"/>
          <w:szCs w:val="24"/>
        </w:rPr>
        <w:t>.</w:t>
      </w:r>
    </w:p>
    <w:p w:rsidR="006A416F" w:rsidRDefault="006A416F" w:rsidP="001302DE">
      <w:pPr>
        <w:spacing w:after="0"/>
        <w:contextualSpacing/>
        <w:jc w:val="both"/>
        <w:rPr>
          <w:rFonts w:ascii="Times New Roman" w:hAnsi="Times New Roman"/>
          <w:sz w:val="24"/>
          <w:szCs w:val="24"/>
        </w:rPr>
      </w:pPr>
    </w:p>
    <w:p w:rsidR="006A416F" w:rsidRDefault="006A416F" w:rsidP="001302DE">
      <w:pPr>
        <w:spacing w:after="0"/>
        <w:contextualSpacing/>
        <w:jc w:val="both"/>
        <w:rPr>
          <w:rFonts w:ascii="Times New Roman" w:hAnsi="Times New Roman"/>
          <w:sz w:val="24"/>
          <w:szCs w:val="24"/>
        </w:rPr>
      </w:pPr>
      <w:r>
        <w:rPr>
          <w:rFonts w:ascii="Times New Roman" w:hAnsi="Times New Roman"/>
          <w:sz w:val="24"/>
          <w:szCs w:val="24"/>
        </w:rPr>
        <w:t xml:space="preserve">Les demandes de salaires visées à l’article L.3245-1 du code du travail, se prescrivent par 36 mois si elles sont formées en cours d’exécution de contrat. </w:t>
      </w:r>
    </w:p>
    <w:p w:rsidR="006A416F" w:rsidRDefault="006A416F" w:rsidP="001302DE">
      <w:pPr>
        <w:spacing w:after="0"/>
        <w:contextualSpacing/>
        <w:jc w:val="both"/>
        <w:rPr>
          <w:rFonts w:ascii="Times New Roman" w:hAnsi="Times New Roman"/>
          <w:sz w:val="24"/>
          <w:szCs w:val="24"/>
        </w:rPr>
      </w:pPr>
      <w:r>
        <w:rPr>
          <w:rFonts w:ascii="Times New Roman" w:hAnsi="Times New Roman"/>
          <w:sz w:val="24"/>
          <w:szCs w:val="24"/>
        </w:rPr>
        <w:t>Si la demande est formée dans le délai de 24 mois suivant la rupture du contrat, la période de 36 mois susvisée s’entend à compter de la rupture du contrat.</w:t>
      </w:r>
    </w:p>
    <w:p w:rsidR="006A416F" w:rsidRPr="00F0728A" w:rsidRDefault="006A416F">
      <w:pPr>
        <w:spacing w:after="0"/>
        <w:contextualSpacing/>
        <w:jc w:val="both"/>
        <w:rPr>
          <w:rFonts w:ascii="Times New Roman" w:hAnsi="Times New Roman"/>
          <w:sz w:val="24"/>
          <w:szCs w:val="24"/>
        </w:rPr>
      </w:pPr>
    </w:p>
    <w:p w:rsidR="006A416F" w:rsidRPr="00F0728A" w:rsidRDefault="006A416F">
      <w:pPr>
        <w:spacing w:after="0"/>
        <w:contextualSpacing/>
        <w:jc w:val="both"/>
        <w:rPr>
          <w:rFonts w:ascii="Times New Roman" w:hAnsi="Times New Roman"/>
          <w:sz w:val="24"/>
          <w:szCs w:val="24"/>
        </w:rPr>
      </w:pPr>
    </w:p>
    <w:p w:rsidR="006A416F" w:rsidRPr="00F0728A" w:rsidRDefault="006A416F">
      <w:pPr>
        <w:spacing w:after="0"/>
        <w:contextualSpacing/>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r w:rsidRPr="00DE4F83">
        <w:rPr>
          <w:rFonts w:ascii="Times New Roman" w:hAnsi="Times New Roman"/>
          <w:b/>
          <w:caps/>
          <w:sz w:val="24"/>
          <w:szCs w:val="24"/>
        </w:rPr>
        <w:t>TITRE VI</w:t>
      </w:r>
      <w:r>
        <w:rPr>
          <w:rFonts w:ascii="Times New Roman" w:hAnsi="Times New Roman"/>
          <w:b/>
          <w:caps/>
          <w:sz w:val="24"/>
          <w:szCs w:val="24"/>
        </w:rPr>
        <w:t xml:space="preserve"> -</w:t>
      </w:r>
      <w:r w:rsidRPr="00DE4F83">
        <w:rPr>
          <w:rFonts w:ascii="Times New Roman" w:hAnsi="Times New Roman"/>
          <w:b/>
          <w:caps/>
          <w:sz w:val="24"/>
          <w:szCs w:val="24"/>
        </w:rPr>
        <w:t xml:space="preserve"> DISPOSITIONS diverses</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b/>
          <w:sz w:val="24"/>
          <w:szCs w:val="24"/>
          <w:u w:val="single"/>
        </w:rPr>
      </w:pPr>
      <w:r w:rsidRPr="00F0728A">
        <w:rPr>
          <w:rFonts w:ascii="Times New Roman" w:hAnsi="Times New Roman"/>
          <w:b/>
          <w:sz w:val="24"/>
          <w:szCs w:val="24"/>
          <w:u w:val="single"/>
        </w:rPr>
        <w:t xml:space="preserve">Article </w:t>
      </w:r>
      <w:r>
        <w:rPr>
          <w:rFonts w:ascii="Times New Roman" w:hAnsi="Times New Roman"/>
          <w:b/>
          <w:sz w:val="24"/>
          <w:szCs w:val="24"/>
          <w:u w:val="single"/>
        </w:rPr>
        <w:t>27</w:t>
      </w:r>
      <w:r w:rsidRPr="00F0728A">
        <w:rPr>
          <w:rFonts w:ascii="Times New Roman" w:hAnsi="Times New Roman"/>
          <w:b/>
          <w:sz w:val="24"/>
          <w:szCs w:val="24"/>
          <w:u w:val="single"/>
        </w:rPr>
        <w:t xml:space="preserve"> – Entrée en application</w:t>
      </w:r>
    </w:p>
    <w:p w:rsidR="006A416F" w:rsidRPr="00F0728A" w:rsidRDefault="006A416F">
      <w:pPr>
        <w:spacing w:after="0"/>
        <w:jc w:val="both"/>
        <w:rPr>
          <w:rFonts w:ascii="Times New Roman" w:hAnsi="Times New Roman"/>
          <w:b/>
          <w:sz w:val="24"/>
          <w:szCs w:val="24"/>
          <w:u w:val="single"/>
        </w:rPr>
      </w:pPr>
    </w:p>
    <w:p w:rsidR="006A416F" w:rsidRPr="00F0728A" w:rsidRDefault="006A416F">
      <w:pPr>
        <w:spacing w:after="0"/>
        <w:jc w:val="both"/>
        <w:rPr>
          <w:rFonts w:ascii="Times New Roman" w:hAnsi="Times New Roman"/>
          <w:sz w:val="24"/>
          <w:szCs w:val="24"/>
        </w:rPr>
      </w:pPr>
      <w:r w:rsidRPr="00F0728A">
        <w:rPr>
          <w:rFonts w:ascii="Times New Roman" w:hAnsi="Times New Roman"/>
          <w:sz w:val="24"/>
          <w:szCs w:val="24"/>
        </w:rPr>
        <w:t>Le présent accord entrera en vigueur dès l’adoption de l’ensemble des dispositions législatives et réglementaires nécessaires à son application.</w:t>
      </w:r>
    </w:p>
    <w:p w:rsidR="006A416F" w:rsidRPr="00F0728A" w:rsidRDefault="006A416F">
      <w:pPr>
        <w:spacing w:after="0"/>
        <w:jc w:val="both"/>
        <w:rPr>
          <w:rFonts w:ascii="Times New Roman" w:hAnsi="Times New Roman"/>
          <w:sz w:val="24"/>
          <w:szCs w:val="24"/>
        </w:rPr>
      </w:pPr>
    </w:p>
    <w:p w:rsidR="006A416F" w:rsidRPr="00F0728A" w:rsidRDefault="006A416F">
      <w:pPr>
        <w:spacing w:after="0"/>
        <w:jc w:val="both"/>
        <w:rPr>
          <w:rFonts w:ascii="Times New Roman" w:hAnsi="Times New Roman"/>
          <w:sz w:val="24"/>
          <w:szCs w:val="24"/>
        </w:rPr>
      </w:pPr>
    </w:p>
    <w:p w:rsidR="006A416F" w:rsidRDefault="006A416F" w:rsidP="00105810">
      <w:pPr>
        <w:spacing w:after="0"/>
        <w:jc w:val="both"/>
        <w:rPr>
          <w:rFonts w:ascii="Times New Roman" w:hAnsi="Times New Roman"/>
          <w:b/>
          <w:sz w:val="24"/>
          <w:szCs w:val="24"/>
          <w:u w:val="single"/>
        </w:rPr>
      </w:pPr>
      <w:r w:rsidRPr="00F0728A">
        <w:rPr>
          <w:rFonts w:ascii="Times New Roman" w:hAnsi="Times New Roman"/>
          <w:b/>
          <w:sz w:val="24"/>
          <w:szCs w:val="24"/>
          <w:u w:val="single"/>
        </w:rPr>
        <w:t xml:space="preserve">Article </w:t>
      </w:r>
      <w:r>
        <w:rPr>
          <w:rFonts w:ascii="Times New Roman" w:hAnsi="Times New Roman"/>
          <w:b/>
          <w:sz w:val="24"/>
          <w:szCs w:val="24"/>
          <w:u w:val="single"/>
        </w:rPr>
        <w:t xml:space="preserve">28 </w:t>
      </w:r>
      <w:r w:rsidRPr="0003128A">
        <w:rPr>
          <w:rFonts w:ascii="Times New Roman" w:hAnsi="Times New Roman"/>
          <w:b/>
          <w:sz w:val="24"/>
          <w:szCs w:val="24"/>
        </w:rPr>
        <w:t>– Bilan</w:t>
      </w:r>
    </w:p>
    <w:p w:rsidR="006A416F" w:rsidRDefault="006A416F" w:rsidP="00105810">
      <w:pPr>
        <w:spacing w:after="0"/>
        <w:jc w:val="both"/>
        <w:rPr>
          <w:rFonts w:ascii="Times New Roman" w:hAnsi="Times New Roman"/>
          <w:b/>
          <w:sz w:val="24"/>
          <w:szCs w:val="24"/>
          <w:u w:val="single"/>
        </w:rPr>
      </w:pPr>
    </w:p>
    <w:p w:rsidR="006A416F" w:rsidRPr="0003128A" w:rsidRDefault="006A416F" w:rsidP="00105810">
      <w:pPr>
        <w:spacing w:after="0"/>
        <w:jc w:val="both"/>
        <w:rPr>
          <w:rFonts w:ascii="Times New Roman" w:hAnsi="Times New Roman"/>
          <w:sz w:val="24"/>
          <w:szCs w:val="24"/>
        </w:rPr>
      </w:pPr>
      <w:r w:rsidRPr="0003128A">
        <w:rPr>
          <w:rFonts w:ascii="Times New Roman" w:hAnsi="Times New Roman"/>
          <w:sz w:val="24"/>
          <w:szCs w:val="24"/>
        </w:rPr>
        <w:t xml:space="preserve">Les parties signataires se réuniront </w:t>
      </w:r>
      <w:r>
        <w:rPr>
          <w:rFonts w:ascii="Times New Roman" w:hAnsi="Times New Roman"/>
          <w:sz w:val="24"/>
          <w:szCs w:val="24"/>
        </w:rPr>
        <w:t>pour dresser un bilan du présent accord à l’issue d’un délai de 2 ans suivant son entrée en vigueur.</w:t>
      </w:r>
    </w:p>
    <w:p w:rsidR="006A416F" w:rsidRPr="00F0728A" w:rsidRDefault="006A416F">
      <w:pPr>
        <w:spacing w:after="0"/>
        <w:jc w:val="both"/>
        <w:rPr>
          <w:rFonts w:ascii="Times New Roman" w:hAnsi="Times New Roman"/>
          <w:sz w:val="24"/>
          <w:szCs w:val="24"/>
        </w:rPr>
      </w:pPr>
    </w:p>
    <w:sectPr w:rsidR="006A416F" w:rsidRPr="00F0728A" w:rsidSect="00196D9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6F" w:rsidRDefault="006A416F" w:rsidP="005F617F">
      <w:pPr>
        <w:spacing w:after="0" w:line="240" w:lineRule="auto"/>
      </w:pPr>
      <w:r>
        <w:separator/>
      </w:r>
    </w:p>
  </w:endnote>
  <w:endnote w:type="continuationSeparator" w:id="0">
    <w:p w:rsidR="006A416F" w:rsidRDefault="006A416F" w:rsidP="005F6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6F" w:rsidRDefault="006A416F">
    <w:pPr>
      <w:pStyle w:val="Footer"/>
      <w:jc w:val="right"/>
    </w:pPr>
    <w:fldSimple w:instr="PAGE   \* MERGEFORMAT">
      <w:r>
        <w:rPr>
          <w:noProof/>
        </w:rPr>
        <w:t>4</w:t>
      </w:r>
    </w:fldSimple>
  </w:p>
  <w:p w:rsidR="006A416F" w:rsidRDefault="006A4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6F" w:rsidRDefault="006A416F" w:rsidP="005F617F">
      <w:pPr>
        <w:spacing w:after="0" w:line="240" w:lineRule="auto"/>
      </w:pPr>
      <w:r>
        <w:separator/>
      </w:r>
    </w:p>
  </w:footnote>
  <w:footnote w:type="continuationSeparator" w:id="0">
    <w:p w:rsidR="006A416F" w:rsidRDefault="006A416F" w:rsidP="005F617F">
      <w:pPr>
        <w:spacing w:after="0" w:line="240" w:lineRule="auto"/>
      </w:pPr>
      <w:r>
        <w:continuationSeparator/>
      </w:r>
    </w:p>
  </w:footnote>
  <w:footnote w:id="1">
    <w:p w:rsidR="006A416F" w:rsidRDefault="006A416F" w:rsidP="003E3A9D">
      <w:pPr>
        <w:pStyle w:val="FootnoteText"/>
        <w:jc w:val="both"/>
      </w:pPr>
      <w:r w:rsidRPr="000A716A">
        <w:rPr>
          <w:rStyle w:val="FootnoteReference"/>
          <w:rFonts w:ascii="Times New Roman" w:hAnsi="Times New Roman"/>
        </w:rPr>
        <w:footnoteRef/>
      </w:r>
      <w:r w:rsidRPr="000A716A">
        <w:rPr>
          <w:rFonts w:ascii="Times New Roman" w:hAnsi="Times New Roman"/>
        </w:rPr>
        <w:t xml:space="preserve"> </w:t>
      </w:r>
      <w:r>
        <w:rPr>
          <w:rFonts w:ascii="Times New Roman" w:hAnsi="Times New Roman"/>
        </w:rPr>
        <w:t>Les parties signataires du présent accord décident de constituer un groupe de travail paritaire, dont l’objet sera de définir, dans le délai de trois mois, les conditions et les modalités d’une procédure transparente de mise en concurrence, tant lors de la mise en place de la couverture « remboursements complémentaires frais de santé » que lors du réexamen périodique du ou des organismes assureurs désignés ou recommandés. Ce groupe de travail paritaire sera notamment chargé de fixer les conditions d’élaboration du cahier des charges, les conditions de publicité et de transparence de cette mise en concurrence, les critères de sélection des offres conformes à ce cahier des charges et de définir les critères d’évaluation de la gestion du régime collectif lors du réexamen des conditions de la mutualisation.</w:t>
      </w:r>
    </w:p>
  </w:footnote>
  <w:footnote w:id="2">
    <w:p w:rsidR="006A416F" w:rsidRDefault="006A416F" w:rsidP="003E3A9D">
      <w:pPr>
        <w:pStyle w:val="FootnoteText"/>
      </w:pPr>
      <w:r w:rsidRPr="00F85944">
        <w:rPr>
          <w:rStyle w:val="FootnoteReference"/>
        </w:rPr>
        <w:footnoteRef/>
      </w:r>
      <w:r w:rsidRPr="00F85944">
        <w:t xml:space="preserve"> </w:t>
      </w:r>
      <w:r w:rsidRPr="00472E92">
        <w:rPr>
          <w:rFonts w:ascii="Times New Roman" w:hAnsi="Times New Roman"/>
        </w:rPr>
        <w:t>Ainsi notamment, les salariés couverts par ailleurs par un contrat collectif obligatoire en qualité d’ayant droit, pourraie</w:t>
      </w:r>
      <w:r>
        <w:rPr>
          <w:rFonts w:ascii="Times New Roman" w:hAnsi="Times New Roman"/>
        </w:rPr>
        <w:t>nt être dispensés d’affiliation.</w:t>
      </w:r>
    </w:p>
  </w:footnote>
  <w:footnote w:id="3">
    <w:p w:rsidR="006A416F" w:rsidRDefault="006A416F" w:rsidP="00723FB3">
      <w:pPr>
        <w:pStyle w:val="FootnoteText"/>
        <w:jc w:val="both"/>
      </w:pPr>
      <w:r>
        <w:rPr>
          <w:rStyle w:val="FootnoteReference"/>
        </w:rPr>
        <w:footnoteRef/>
      </w:r>
      <w:r>
        <w:t xml:space="preserve"> </w:t>
      </w:r>
      <w:r w:rsidRPr="00723FB3">
        <w:rPr>
          <w:rFonts w:ascii="Times New Roman" w:hAnsi="Times New Roman"/>
        </w:rPr>
        <w:t xml:space="preserve">Les parties signataires souhaitent que les branches professionnelles ouvrent, </w:t>
      </w:r>
      <w:r>
        <w:rPr>
          <w:rFonts w:ascii="Times New Roman" w:hAnsi="Times New Roman"/>
        </w:rPr>
        <w:t xml:space="preserve">au plus tard </w:t>
      </w:r>
      <w:r w:rsidRPr="00723FB3">
        <w:rPr>
          <w:rFonts w:ascii="Times New Roman" w:hAnsi="Times New Roman"/>
        </w:rPr>
        <w:t xml:space="preserve">à l’issue du processus de généralisation de la couverture </w:t>
      </w:r>
      <w:r>
        <w:rPr>
          <w:rFonts w:ascii="Times New Roman" w:hAnsi="Times New Roman"/>
        </w:rPr>
        <w:t xml:space="preserve">en frais de </w:t>
      </w:r>
      <w:r w:rsidRPr="00723FB3">
        <w:rPr>
          <w:rFonts w:ascii="Times New Roman" w:hAnsi="Times New Roman"/>
        </w:rPr>
        <w:t>santé, des négociations en vue de mettre en place un dispositif de prévoyance à l’attention des salariés qui n’en bénéficient pas.</w:t>
      </w:r>
    </w:p>
  </w:footnote>
  <w:footnote w:id="4">
    <w:p w:rsidR="006A416F" w:rsidRDefault="006A416F" w:rsidP="003E3A9D">
      <w:pPr>
        <w:pStyle w:val="FootnoteText"/>
        <w:jc w:val="both"/>
      </w:pPr>
      <w:r>
        <w:rPr>
          <w:rStyle w:val="FootnoteReference"/>
        </w:rPr>
        <w:footnoteRef/>
      </w:r>
      <w:r>
        <w:t xml:space="preserve">- </w:t>
      </w:r>
      <w:r w:rsidRPr="007827C7">
        <w:rPr>
          <w:rFonts w:ascii="Times New Roman" w:hAnsi="Times New Roman"/>
        </w:rPr>
        <w:t>sur la base des conditions de remboursement par l’assurance maladie obligatoire (base de remboursement, ticket modérateur…)  prévues à la date de signature du présent accord</w:t>
      </w:r>
      <w:r w:rsidRPr="007827C7">
        <w:t xml:space="preserve">.  </w:t>
      </w:r>
    </w:p>
  </w:footnote>
  <w:footnote w:id="5">
    <w:p w:rsidR="006A416F" w:rsidRDefault="006A416F" w:rsidP="0003128A">
      <w:pPr>
        <w:pStyle w:val="FootnoteText"/>
        <w:jc w:val="both"/>
      </w:pPr>
      <w:r>
        <w:rPr>
          <w:rStyle w:val="FootnoteReference"/>
        </w:rPr>
        <w:footnoteRef/>
      </w:r>
      <w:r>
        <w:t xml:space="preserve"> </w:t>
      </w:r>
      <w:r w:rsidRPr="00723FB3">
        <w:rPr>
          <w:rFonts w:ascii="Times New Roman" w:hAnsi="Times New Roman"/>
        </w:rPr>
        <w:t>Lorsque des dispositions conventionnelles plus favorables</w:t>
      </w:r>
      <w:r>
        <w:rPr>
          <w:rFonts w:ascii="Times New Roman" w:hAnsi="Times New Roman"/>
        </w:rPr>
        <w:t xml:space="preserve"> à l’accumulation des heures de DIF existent, elles s’appliquent automatiquement au compte personnel de formation.</w:t>
      </w:r>
    </w:p>
  </w:footnote>
  <w:footnote w:id="6">
    <w:p w:rsidR="006A416F" w:rsidRDefault="006A416F" w:rsidP="00723FB3">
      <w:pPr>
        <w:pStyle w:val="FootnoteText"/>
        <w:jc w:val="both"/>
      </w:pPr>
      <w:r>
        <w:rPr>
          <w:rStyle w:val="FootnoteReference"/>
        </w:rPr>
        <w:footnoteRef/>
      </w:r>
      <w:r>
        <w:t xml:space="preserve"> </w:t>
      </w:r>
      <w:r w:rsidRPr="00723FB3">
        <w:rPr>
          <w:rFonts w:ascii="Times New Roman" w:hAnsi="Times New Roman"/>
        </w:rPr>
        <w:t>La demande du salarié n’est pas requise pour les salariés embauchés avant l’entrée en vigueur du présent accord</w:t>
      </w:r>
      <w:r w:rsidRPr="00304D42">
        <w:rPr>
          <w:rFonts w:ascii="Times New Roman" w:hAnsi="Times New Roman"/>
        </w:rPr>
        <w:t>, quand l’activité ne le permet pas</w:t>
      </w:r>
      <w:r>
        <w:rPr>
          <w:rFonts w:ascii="Times New Roman" w:hAnsi="Times New Roman"/>
        </w:rPr>
        <w:t>.</w:t>
      </w:r>
      <w:r>
        <w:t xml:space="preserve"> </w:t>
      </w:r>
    </w:p>
  </w:footnote>
  <w:footnote w:id="7">
    <w:p w:rsidR="006A416F" w:rsidRDefault="006A416F">
      <w:pPr>
        <w:pStyle w:val="FootnoteText"/>
      </w:pPr>
      <w:r>
        <w:rPr>
          <w:rStyle w:val="FootnoteReference"/>
        </w:rPr>
        <w:footnoteRef/>
      </w:r>
      <w:r>
        <w:t xml:space="preserve"> </w:t>
      </w:r>
      <w:r w:rsidRPr="00890432">
        <w:rPr>
          <w:rFonts w:ascii="Times New Roman" w:hAnsi="Times New Roman"/>
        </w:rPr>
        <w:t>Voir document en annexe</w:t>
      </w:r>
    </w:p>
  </w:footnote>
  <w:footnote w:id="8">
    <w:p w:rsidR="006A416F" w:rsidRDefault="006A416F" w:rsidP="00DC1CA0">
      <w:pPr>
        <w:pStyle w:val="FootnoteText"/>
        <w:jc w:val="both"/>
      </w:pPr>
      <w:r w:rsidRPr="00942043">
        <w:rPr>
          <w:rStyle w:val="FootnoteReference"/>
        </w:rPr>
        <w:footnoteRef/>
      </w:r>
      <w:r w:rsidRPr="00942043">
        <w:t xml:space="preserve"> </w:t>
      </w:r>
      <w:r w:rsidRPr="00890432">
        <w:rPr>
          <w:rFonts w:ascii="Times New Roman" w:hAnsi="Times New Roman"/>
        </w:rPr>
        <w:t>Ces délais préfix doivent être d’une durée suffisante pour permettre la prise en compte des informations nécessaires à l’expertise fournies par l’employeur et au besoin d’obtenir du juge des référés qu’il statue sur la remise par l’employeur des éléments d’information que les IRP estimeraient manquants</w:t>
      </w:r>
      <w:r w:rsidRPr="00942043">
        <w:t>.</w:t>
      </w:r>
    </w:p>
  </w:footnote>
  <w:footnote w:id="9">
    <w:p w:rsidR="006A416F" w:rsidRDefault="006A416F" w:rsidP="0003128A">
      <w:pPr>
        <w:pStyle w:val="FootnoteText"/>
        <w:jc w:val="both"/>
      </w:pPr>
      <w:r>
        <w:rPr>
          <w:rStyle w:val="FootnoteReference"/>
        </w:rPr>
        <w:footnoteRef/>
      </w:r>
      <w:r>
        <w:t xml:space="preserve"> </w:t>
      </w:r>
      <w:r w:rsidRPr="00890432">
        <w:rPr>
          <w:rFonts w:ascii="Times New Roman" w:hAnsi="Times New Roman"/>
        </w:rPr>
        <w:t>Ces délais préfix doivent être d’une durée suffisante pour permettre la prise en compte des informations nécessaires à l’expertise fournies par l’employeur et au besoin d’obtenir du juge des référés qu’il statue sur la remise par l’employeur des éléments d’information que les IRP estimeraient manquants</w:t>
      </w:r>
      <w:r w:rsidRPr="00942043">
        <w:t>.</w:t>
      </w:r>
    </w:p>
  </w:footnote>
  <w:footnote w:id="10">
    <w:p w:rsidR="006A416F" w:rsidRDefault="006A416F" w:rsidP="00890432">
      <w:pPr>
        <w:pStyle w:val="FootnoteText"/>
        <w:jc w:val="both"/>
      </w:pPr>
      <w:r>
        <w:rPr>
          <w:rStyle w:val="FootnoteReference"/>
        </w:rPr>
        <w:footnoteRef/>
      </w:r>
      <w:r>
        <w:t xml:space="preserve"> </w:t>
      </w:r>
      <w:r>
        <w:rPr>
          <w:rFonts w:ascii="Times New Roman" w:hAnsi="Times New Roman"/>
        </w:rPr>
        <w:t>Les partenaires sociaux engageront, dans les 3 mois de l’entrée en vigueur du présent accord, une réflexion sur les mesures envisageables pour atténuer les effets d’une éventuelle baisse du salaire net de base, intervenant dans le cadre d’un tel accord.</w:t>
      </w:r>
    </w:p>
  </w:footnote>
  <w:footnote w:id="11">
    <w:p w:rsidR="006A416F" w:rsidRDefault="006A416F" w:rsidP="00890432">
      <w:pPr>
        <w:pStyle w:val="FootnoteText"/>
        <w:jc w:val="both"/>
      </w:pPr>
      <w:r>
        <w:rPr>
          <w:rStyle w:val="FootnoteReference"/>
        </w:rPr>
        <w:footnoteRef/>
      </w:r>
      <w:r>
        <w:t xml:space="preserve"> </w:t>
      </w:r>
      <w:r>
        <w:rPr>
          <w:rFonts w:ascii="Times New Roman" w:hAnsi="Times New Roman"/>
        </w:rPr>
        <w:t>L’arbitrage résultant d’un accord de maintien dans l’emploi ne peut avoir d’impact sur les salaires inférieurs à 1,2 SMIC.</w:t>
      </w:r>
    </w:p>
  </w:footnote>
  <w:footnote w:id="12">
    <w:p w:rsidR="006A416F" w:rsidRDefault="006A416F">
      <w:pPr>
        <w:pStyle w:val="FootnoteText"/>
      </w:pPr>
      <w:r>
        <w:rPr>
          <w:rStyle w:val="FootnoteReference"/>
        </w:rPr>
        <w:footnoteRef/>
      </w:r>
      <w:r>
        <w:t xml:space="preserve"> </w:t>
      </w:r>
      <w:r>
        <w:rPr>
          <w:rFonts w:ascii="Times New Roman" w:hAnsi="Times New Roman"/>
        </w:rPr>
        <w:t xml:space="preserve"> Ces accords ne sauraient être confondus avec les accords de réduction de la durée du travail visés à l’article L.1222-8 du code du travail</w:t>
      </w:r>
    </w:p>
  </w:footnote>
  <w:footnote w:id="13">
    <w:p w:rsidR="006A416F" w:rsidRDefault="006A416F">
      <w:pPr>
        <w:pStyle w:val="FootnoteText"/>
      </w:pPr>
      <w:r w:rsidRPr="00177DA5">
        <w:rPr>
          <w:rStyle w:val="FootnoteReference"/>
        </w:rPr>
        <w:footnoteRef/>
      </w:r>
      <w:r w:rsidRPr="00177DA5">
        <w:t xml:space="preserve">  </w:t>
      </w:r>
      <w:r w:rsidRPr="00890432">
        <w:rPr>
          <w:rFonts w:ascii="Times New Roman" w:hAnsi="Times New Roman"/>
        </w:rPr>
        <w:t>Exception faite des recours dont la loi prévoit qu’ils sont directement portés devant le bureau de jugement</w:t>
      </w:r>
    </w:p>
  </w:footnote>
  <w:footnote w:id="14">
    <w:p w:rsidR="006A416F" w:rsidRDefault="006A416F">
      <w:pPr>
        <w:pStyle w:val="FootnoteText"/>
      </w:pPr>
      <w:r>
        <w:rPr>
          <w:rStyle w:val="FootnoteReference"/>
        </w:rPr>
        <w:footnoteRef/>
      </w:r>
      <w:r>
        <w:t xml:space="preserve"> </w:t>
      </w:r>
      <w:r w:rsidRPr="00723FB3">
        <w:rPr>
          <w:rFonts w:ascii="Times New Roman" w:hAnsi="Times New Roman"/>
        </w:rPr>
        <w:t>Ce délai ne s’a</w:t>
      </w:r>
      <w:r>
        <w:rPr>
          <w:rFonts w:ascii="Times New Roman" w:hAnsi="Times New Roman"/>
        </w:rPr>
        <w:t>p</w:t>
      </w:r>
      <w:r w:rsidRPr="00723FB3">
        <w:rPr>
          <w:rFonts w:ascii="Times New Roman" w:hAnsi="Times New Roman"/>
        </w:rPr>
        <w:t>plique pas aux actions fondées sur une discrimination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0C8A"/>
    <w:multiLevelType w:val="singleLevel"/>
    <w:tmpl w:val="352AD3AC"/>
    <w:lvl w:ilvl="0">
      <w:numFmt w:val="bullet"/>
      <w:lvlText w:val="-"/>
      <w:lvlJc w:val="left"/>
      <w:pPr>
        <w:tabs>
          <w:tab w:val="num" w:pos="360"/>
        </w:tabs>
        <w:ind w:left="2016" w:hanging="360"/>
      </w:pPr>
      <w:rPr>
        <w:rFonts w:ascii="Symbol" w:hAnsi="Symbol"/>
        <w:snapToGrid/>
        <w:color w:val="auto"/>
        <w:spacing w:val="15"/>
        <w:sz w:val="24"/>
      </w:rPr>
    </w:lvl>
  </w:abstractNum>
  <w:abstractNum w:abstractNumId="1">
    <w:nsid w:val="03A03F53"/>
    <w:multiLevelType w:val="hybridMultilevel"/>
    <w:tmpl w:val="3C2CE724"/>
    <w:lvl w:ilvl="0" w:tplc="ACACDD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63715A"/>
    <w:multiLevelType w:val="hybridMultilevel"/>
    <w:tmpl w:val="B3622A5A"/>
    <w:lvl w:ilvl="0" w:tplc="48EA986A">
      <w:start w:val="1"/>
      <w:numFmt w:val="lowerLetter"/>
      <w:lvlText w:val="%1)"/>
      <w:lvlJc w:val="left"/>
      <w:pPr>
        <w:ind w:left="1072" w:hanging="360"/>
      </w:pPr>
      <w:rPr>
        <w:rFonts w:cs="Times New Roman" w:hint="default"/>
      </w:rPr>
    </w:lvl>
    <w:lvl w:ilvl="1" w:tplc="040C0019" w:tentative="1">
      <w:start w:val="1"/>
      <w:numFmt w:val="lowerLetter"/>
      <w:lvlText w:val="%2."/>
      <w:lvlJc w:val="left"/>
      <w:pPr>
        <w:ind w:left="1792" w:hanging="360"/>
      </w:pPr>
      <w:rPr>
        <w:rFonts w:cs="Times New Roman"/>
      </w:rPr>
    </w:lvl>
    <w:lvl w:ilvl="2" w:tplc="040C001B" w:tentative="1">
      <w:start w:val="1"/>
      <w:numFmt w:val="lowerRoman"/>
      <w:lvlText w:val="%3."/>
      <w:lvlJc w:val="right"/>
      <w:pPr>
        <w:ind w:left="2512" w:hanging="180"/>
      </w:pPr>
      <w:rPr>
        <w:rFonts w:cs="Times New Roman"/>
      </w:rPr>
    </w:lvl>
    <w:lvl w:ilvl="3" w:tplc="040C000F" w:tentative="1">
      <w:start w:val="1"/>
      <w:numFmt w:val="decimal"/>
      <w:lvlText w:val="%4."/>
      <w:lvlJc w:val="left"/>
      <w:pPr>
        <w:ind w:left="3232" w:hanging="360"/>
      </w:pPr>
      <w:rPr>
        <w:rFonts w:cs="Times New Roman"/>
      </w:rPr>
    </w:lvl>
    <w:lvl w:ilvl="4" w:tplc="040C0019" w:tentative="1">
      <w:start w:val="1"/>
      <w:numFmt w:val="lowerLetter"/>
      <w:lvlText w:val="%5."/>
      <w:lvlJc w:val="left"/>
      <w:pPr>
        <w:ind w:left="3952" w:hanging="360"/>
      </w:pPr>
      <w:rPr>
        <w:rFonts w:cs="Times New Roman"/>
      </w:rPr>
    </w:lvl>
    <w:lvl w:ilvl="5" w:tplc="040C001B" w:tentative="1">
      <w:start w:val="1"/>
      <w:numFmt w:val="lowerRoman"/>
      <w:lvlText w:val="%6."/>
      <w:lvlJc w:val="right"/>
      <w:pPr>
        <w:ind w:left="4672" w:hanging="180"/>
      </w:pPr>
      <w:rPr>
        <w:rFonts w:cs="Times New Roman"/>
      </w:rPr>
    </w:lvl>
    <w:lvl w:ilvl="6" w:tplc="040C000F" w:tentative="1">
      <w:start w:val="1"/>
      <w:numFmt w:val="decimal"/>
      <w:lvlText w:val="%7."/>
      <w:lvlJc w:val="left"/>
      <w:pPr>
        <w:ind w:left="5392" w:hanging="360"/>
      </w:pPr>
      <w:rPr>
        <w:rFonts w:cs="Times New Roman"/>
      </w:rPr>
    </w:lvl>
    <w:lvl w:ilvl="7" w:tplc="040C0019" w:tentative="1">
      <w:start w:val="1"/>
      <w:numFmt w:val="lowerLetter"/>
      <w:lvlText w:val="%8."/>
      <w:lvlJc w:val="left"/>
      <w:pPr>
        <w:ind w:left="6112" w:hanging="360"/>
      </w:pPr>
      <w:rPr>
        <w:rFonts w:cs="Times New Roman"/>
      </w:rPr>
    </w:lvl>
    <w:lvl w:ilvl="8" w:tplc="040C001B" w:tentative="1">
      <w:start w:val="1"/>
      <w:numFmt w:val="lowerRoman"/>
      <w:lvlText w:val="%9."/>
      <w:lvlJc w:val="right"/>
      <w:pPr>
        <w:ind w:left="6832" w:hanging="180"/>
      </w:pPr>
      <w:rPr>
        <w:rFonts w:cs="Times New Roman"/>
      </w:rPr>
    </w:lvl>
  </w:abstractNum>
  <w:abstractNum w:abstractNumId="3">
    <w:nsid w:val="07C91D8C"/>
    <w:multiLevelType w:val="singleLevel"/>
    <w:tmpl w:val="5CE8AEFC"/>
    <w:lvl w:ilvl="0">
      <w:numFmt w:val="bullet"/>
      <w:lvlText w:val="●"/>
      <w:lvlJc w:val="left"/>
      <w:pPr>
        <w:tabs>
          <w:tab w:val="num" w:pos="288"/>
        </w:tabs>
        <w:ind w:left="144"/>
      </w:pPr>
      <w:rPr>
        <w:rFonts w:ascii="Arial" w:hAnsi="Arial"/>
        <w:snapToGrid/>
        <w:color w:val="auto"/>
        <w:spacing w:val="-2"/>
        <w:sz w:val="24"/>
      </w:rPr>
    </w:lvl>
  </w:abstractNum>
  <w:abstractNum w:abstractNumId="4">
    <w:nsid w:val="0BAD1ABE"/>
    <w:multiLevelType w:val="hybridMultilevel"/>
    <w:tmpl w:val="5F5EFA2C"/>
    <w:lvl w:ilvl="0" w:tplc="6F20AB2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71261B"/>
    <w:multiLevelType w:val="hybridMultilevel"/>
    <w:tmpl w:val="13D89362"/>
    <w:lvl w:ilvl="0" w:tplc="DAEE745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B44931"/>
    <w:multiLevelType w:val="hybridMultilevel"/>
    <w:tmpl w:val="E17608D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12C308B9"/>
    <w:multiLevelType w:val="hybridMultilevel"/>
    <w:tmpl w:val="A89C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45199B"/>
    <w:multiLevelType w:val="hybridMultilevel"/>
    <w:tmpl w:val="29BEDED0"/>
    <w:lvl w:ilvl="0" w:tplc="C65E83A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463C95"/>
    <w:multiLevelType w:val="hybridMultilevel"/>
    <w:tmpl w:val="02640C34"/>
    <w:lvl w:ilvl="0" w:tplc="45D46BDA">
      <w:start w:val="2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575C02"/>
    <w:multiLevelType w:val="hybridMultilevel"/>
    <w:tmpl w:val="185CC4C0"/>
    <w:lvl w:ilvl="0" w:tplc="A98614BE">
      <w:start w:val="3"/>
      <w:numFmt w:val="lowerLetter"/>
      <w:lvlText w:val="%1)"/>
      <w:lvlJc w:val="left"/>
      <w:pPr>
        <w:ind w:left="426"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nsid w:val="1A612804"/>
    <w:multiLevelType w:val="hybridMultilevel"/>
    <w:tmpl w:val="96B2A422"/>
    <w:lvl w:ilvl="0" w:tplc="6F20AB28">
      <w:numFmt w:val="bullet"/>
      <w:lvlText w:val="-"/>
      <w:lvlJc w:val="left"/>
      <w:pPr>
        <w:ind w:left="2136" w:hanging="360"/>
      </w:pPr>
      <w:rPr>
        <w:rFonts w:ascii="Times New Roman" w:eastAsia="Times New Roman" w:hAnsi="Times New Roman"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22D46063"/>
    <w:multiLevelType w:val="hybridMultilevel"/>
    <w:tmpl w:val="4DAEA49E"/>
    <w:lvl w:ilvl="0" w:tplc="040C0017">
      <w:start w:val="1"/>
      <w:numFmt w:val="lowerLetter"/>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278F5057"/>
    <w:multiLevelType w:val="hybridMultilevel"/>
    <w:tmpl w:val="AC32997C"/>
    <w:lvl w:ilvl="0" w:tplc="1108CAF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041954"/>
    <w:multiLevelType w:val="hybridMultilevel"/>
    <w:tmpl w:val="E604ECA0"/>
    <w:lvl w:ilvl="0" w:tplc="DAEE745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604DF1"/>
    <w:multiLevelType w:val="hybridMultilevel"/>
    <w:tmpl w:val="EBFE1B8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F1A2ADA"/>
    <w:multiLevelType w:val="hybridMultilevel"/>
    <w:tmpl w:val="DEA4B952"/>
    <w:lvl w:ilvl="0" w:tplc="6F20AB2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A44085"/>
    <w:multiLevelType w:val="hybridMultilevel"/>
    <w:tmpl w:val="D37E2C38"/>
    <w:lvl w:ilvl="0" w:tplc="6F20AB28">
      <w:numFmt w:val="bullet"/>
      <w:lvlText w:val="-"/>
      <w:lvlJc w:val="left"/>
      <w:pPr>
        <w:ind w:left="2118" w:hanging="141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7B56B93"/>
    <w:multiLevelType w:val="hybridMultilevel"/>
    <w:tmpl w:val="A26221F4"/>
    <w:lvl w:ilvl="0" w:tplc="468A9EB2">
      <w:start w:val="2"/>
      <w:numFmt w:val="lowerLetter"/>
      <w:lvlText w:val="%1)"/>
      <w:lvlJc w:val="left"/>
      <w:pPr>
        <w:ind w:left="360" w:hanging="360"/>
      </w:pPr>
      <w:rPr>
        <w:rFonts w:cs="Times New Roman" w:hint="default"/>
      </w:rPr>
    </w:lvl>
    <w:lvl w:ilvl="1" w:tplc="040C0019" w:tentative="1">
      <w:start w:val="1"/>
      <w:numFmt w:val="lowerLetter"/>
      <w:lvlText w:val="%2."/>
      <w:lvlJc w:val="left"/>
      <w:pPr>
        <w:ind w:left="1014" w:hanging="360"/>
      </w:pPr>
      <w:rPr>
        <w:rFonts w:cs="Times New Roman"/>
      </w:rPr>
    </w:lvl>
    <w:lvl w:ilvl="2" w:tplc="040C001B" w:tentative="1">
      <w:start w:val="1"/>
      <w:numFmt w:val="lowerRoman"/>
      <w:lvlText w:val="%3."/>
      <w:lvlJc w:val="right"/>
      <w:pPr>
        <w:ind w:left="1734" w:hanging="180"/>
      </w:pPr>
      <w:rPr>
        <w:rFonts w:cs="Times New Roman"/>
      </w:rPr>
    </w:lvl>
    <w:lvl w:ilvl="3" w:tplc="040C000F" w:tentative="1">
      <w:start w:val="1"/>
      <w:numFmt w:val="decimal"/>
      <w:lvlText w:val="%4."/>
      <w:lvlJc w:val="left"/>
      <w:pPr>
        <w:ind w:left="2454" w:hanging="360"/>
      </w:pPr>
      <w:rPr>
        <w:rFonts w:cs="Times New Roman"/>
      </w:rPr>
    </w:lvl>
    <w:lvl w:ilvl="4" w:tplc="040C0019" w:tentative="1">
      <w:start w:val="1"/>
      <w:numFmt w:val="lowerLetter"/>
      <w:lvlText w:val="%5."/>
      <w:lvlJc w:val="left"/>
      <w:pPr>
        <w:ind w:left="3174" w:hanging="360"/>
      </w:pPr>
      <w:rPr>
        <w:rFonts w:cs="Times New Roman"/>
      </w:rPr>
    </w:lvl>
    <w:lvl w:ilvl="5" w:tplc="040C001B" w:tentative="1">
      <w:start w:val="1"/>
      <w:numFmt w:val="lowerRoman"/>
      <w:lvlText w:val="%6."/>
      <w:lvlJc w:val="right"/>
      <w:pPr>
        <w:ind w:left="3894" w:hanging="180"/>
      </w:pPr>
      <w:rPr>
        <w:rFonts w:cs="Times New Roman"/>
      </w:rPr>
    </w:lvl>
    <w:lvl w:ilvl="6" w:tplc="040C000F" w:tentative="1">
      <w:start w:val="1"/>
      <w:numFmt w:val="decimal"/>
      <w:lvlText w:val="%7."/>
      <w:lvlJc w:val="left"/>
      <w:pPr>
        <w:ind w:left="4614" w:hanging="360"/>
      </w:pPr>
      <w:rPr>
        <w:rFonts w:cs="Times New Roman"/>
      </w:rPr>
    </w:lvl>
    <w:lvl w:ilvl="7" w:tplc="040C0019" w:tentative="1">
      <w:start w:val="1"/>
      <w:numFmt w:val="lowerLetter"/>
      <w:lvlText w:val="%8."/>
      <w:lvlJc w:val="left"/>
      <w:pPr>
        <w:ind w:left="5334" w:hanging="360"/>
      </w:pPr>
      <w:rPr>
        <w:rFonts w:cs="Times New Roman"/>
      </w:rPr>
    </w:lvl>
    <w:lvl w:ilvl="8" w:tplc="040C001B" w:tentative="1">
      <w:start w:val="1"/>
      <w:numFmt w:val="lowerRoman"/>
      <w:lvlText w:val="%9."/>
      <w:lvlJc w:val="right"/>
      <w:pPr>
        <w:ind w:left="6054" w:hanging="180"/>
      </w:pPr>
      <w:rPr>
        <w:rFonts w:cs="Times New Roman"/>
      </w:rPr>
    </w:lvl>
  </w:abstractNum>
  <w:abstractNum w:abstractNumId="19">
    <w:nsid w:val="45081980"/>
    <w:multiLevelType w:val="hybridMultilevel"/>
    <w:tmpl w:val="E09432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6AC0512"/>
    <w:multiLevelType w:val="hybridMultilevel"/>
    <w:tmpl w:val="7DACC702"/>
    <w:lvl w:ilvl="0" w:tplc="16D4356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9724C4"/>
    <w:multiLevelType w:val="hybridMultilevel"/>
    <w:tmpl w:val="45903450"/>
    <w:lvl w:ilvl="0" w:tplc="69F0A7E6">
      <w:start w:val="1"/>
      <w:numFmt w:val="lowerLetter"/>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2">
    <w:nsid w:val="48AC1FED"/>
    <w:multiLevelType w:val="hybridMultilevel"/>
    <w:tmpl w:val="F7807A30"/>
    <w:lvl w:ilvl="0" w:tplc="6F20AB28">
      <w:numFmt w:val="bullet"/>
      <w:lvlText w:val="-"/>
      <w:lvlJc w:val="left"/>
      <w:pPr>
        <w:ind w:left="2118" w:hanging="141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8C4B7B"/>
    <w:multiLevelType w:val="hybridMultilevel"/>
    <w:tmpl w:val="EEDAE616"/>
    <w:lvl w:ilvl="0" w:tplc="ACACDD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1949A7"/>
    <w:multiLevelType w:val="hybridMultilevel"/>
    <w:tmpl w:val="C2B2A0D4"/>
    <w:lvl w:ilvl="0" w:tplc="0150AACA">
      <w:start w:val="2"/>
      <w:numFmt w:val="lowerLetter"/>
      <w:lvlText w:val="%1)"/>
      <w:lvlJc w:val="left"/>
      <w:pPr>
        <w:ind w:left="360" w:hanging="360"/>
      </w:pPr>
      <w:rPr>
        <w:rFonts w:cs="Times New Roman" w:hint="default"/>
      </w:rPr>
    </w:lvl>
    <w:lvl w:ilvl="1" w:tplc="040C0019" w:tentative="1">
      <w:start w:val="1"/>
      <w:numFmt w:val="lowerLetter"/>
      <w:lvlText w:val="%2."/>
      <w:lvlJc w:val="left"/>
      <w:pPr>
        <w:ind w:left="1014" w:hanging="360"/>
      </w:pPr>
      <w:rPr>
        <w:rFonts w:cs="Times New Roman"/>
      </w:rPr>
    </w:lvl>
    <w:lvl w:ilvl="2" w:tplc="040C001B" w:tentative="1">
      <w:start w:val="1"/>
      <w:numFmt w:val="lowerRoman"/>
      <w:lvlText w:val="%3."/>
      <w:lvlJc w:val="right"/>
      <w:pPr>
        <w:ind w:left="1734" w:hanging="180"/>
      </w:pPr>
      <w:rPr>
        <w:rFonts w:cs="Times New Roman"/>
      </w:rPr>
    </w:lvl>
    <w:lvl w:ilvl="3" w:tplc="040C000F" w:tentative="1">
      <w:start w:val="1"/>
      <w:numFmt w:val="decimal"/>
      <w:lvlText w:val="%4."/>
      <w:lvlJc w:val="left"/>
      <w:pPr>
        <w:ind w:left="2454" w:hanging="360"/>
      </w:pPr>
      <w:rPr>
        <w:rFonts w:cs="Times New Roman"/>
      </w:rPr>
    </w:lvl>
    <w:lvl w:ilvl="4" w:tplc="040C0019" w:tentative="1">
      <w:start w:val="1"/>
      <w:numFmt w:val="lowerLetter"/>
      <w:lvlText w:val="%5."/>
      <w:lvlJc w:val="left"/>
      <w:pPr>
        <w:ind w:left="3174" w:hanging="360"/>
      </w:pPr>
      <w:rPr>
        <w:rFonts w:cs="Times New Roman"/>
      </w:rPr>
    </w:lvl>
    <w:lvl w:ilvl="5" w:tplc="040C001B" w:tentative="1">
      <w:start w:val="1"/>
      <w:numFmt w:val="lowerRoman"/>
      <w:lvlText w:val="%6."/>
      <w:lvlJc w:val="right"/>
      <w:pPr>
        <w:ind w:left="3894" w:hanging="180"/>
      </w:pPr>
      <w:rPr>
        <w:rFonts w:cs="Times New Roman"/>
      </w:rPr>
    </w:lvl>
    <w:lvl w:ilvl="6" w:tplc="040C000F" w:tentative="1">
      <w:start w:val="1"/>
      <w:numFmt w:val="decimal"/>
      <w:lvlText w:val="%7."/>
      <w:lvlJc w:val="left"/>
      <w:pPr>
        <w:ind w:left="4614" w:hanging="360"/>
      </w:pPr>
      <w:rPr>
        <w:rFonts w:cs="Times New Roman"/>
      </w:rPr>
    </w:lvl>
    <w:lvl w:ilvl="7" w:tplc="040C0019" w:tentative="1">
      <w:start w:val="1"/>
      <w:numFmt w:val="lowerLetter"/>
      <w:lvlText w:val="%8."/>
      <w:lvlJc w:val="left"/>
      <w:pPr>
        <w:ind w:left="5334" w:hanging="360"/>
      </w:pPr>
      <w:rPr>
        <w:rFonts w:cs="Times New Roman"/>
      </w:rPr>
    </w:lvl>
    <w:lvl w:ilvl="8" w:tplc="040C001B" w:tentative="1">
      <w:start w:val="1"/>
      <w:numFmt w:val="lowerRoman"/>
      <w:lvlText w:val="%9."/>
      <w:lvlJc w:val="right"/>
      <w:pPr>
        <w:ind w:left="6054" w:hanging="180"/>
      </w:pPr>
      <w:rPr>
        <w:rFonts w:cs="Times New Roman"/>
      </w:rPr>
    </w:lvl>
  </w:abstractNum>
  <w:abstractNum w:abstractNumId="25">
    <w:nsid w:val="4E402449"/>
    <w:multiLevelType w:val="hybridMultilevel"/>
    <w:tmpl w:val="8A00A1E2"/>
    <w:lvl w:ilvl="0" w:tplc="ACACDD0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626C7C"/>
    <w:multiLevelType w:val="hybridMultilevel"/>
    <w:tmpl w:val="A5682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FE073C"/>
    <w:multiLevelType w:val="hybridMultilevel"/>
    <w:tmpl w:val="8078121E"/>
    <w:lvl w:ilvl="0" w:tplc="ACACDD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F17E77"/>
    <w:multiLevelType w:val="hybridMultilevel"/>
    <w:tmpl w:val="460ED3C6"/>
    <w:lvl w:ilvl="0" w:tplc="ACACDD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5D760F"/>
    <w:multiLevelType w:val="hybridMultilevel"/>
    <w:tmpl w:val="CB5ABC42"/>
    <w:lvl w:ilvl="0" w:tplc="DAEE745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3A1714"/>
    <w:multiLevelType w:val="hybridMultilevel"/>
    <w:tmpl w:val="16B47FC4"/>
    <w:lvl w:ilvl="0" w:tplc="45D46BDA">
      <w:start w:val="2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6926C2"/>
    <w:multiLevelType w:val="hybridMultilevel"/>
    <w:tmpl w:val="9F8E947E"/>
    <w:lvl w:ilvl="0" w:tplc="0B60D06E">
      <w:numFmt w:val="bullet"/>
      <w:lvlText w:val=""/>
      <w:lvlJc w:val="left"/>
      <w:pPr>
        <w:ind w:left="567" w:hanging="360"/>
      </w:pPr>
      <w:rPr>
        <w:rFonts w:ascii="Symbol" w:eastAsia="Times New Roman" w:hAnsi="Symbol" w:hint="default"/>
        <w:w w:val="105"/>
      </w:rPr>
    </w:lvl>
    <w:lvl w:ilvl="1" w:tplc="040C0003" w:tentative="1">
      <w:start w:val="1"/>
      <w:numFmt w:val="bullet"/>
      <w:lvlText w:val="o"/>
      <w:lvlJc w:val="left"/>
      <w:pPr>
        <w:ind w:left="1287" w:hanging="360"/>
      </w:pPr>
      <w:rPr>
        <w:rFonts w:ascii="Courier New" w:hAnsi="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32">
    <w:nsid w:val="5EC62634"/>
    <w:multiLevelType w:val="hybridMultilevel"/>
    <w:tmpl w:val="AABA29D8"/>
    <w:lvl w:ilvl="0" w:tplc="51F4534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5F7BD7"/>
    <w:multiLevelType w:val="hybridMultilevel"/>
    <w:tmpl w:val="5AEEC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D856A8"/>
    <w:multiLevelType w:val="hybridMultilevel"/>
    <w:tmpl w:val="878C8172"/>
    <w:lvl w:ilvl="0" w:tplc="ACACDD0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68CE6607"/>
    <w:multiLevelType w:val="hybridMultilevel"/>
    <w:tmpl w:val="E588118A"/>
    <w:lvl w:ilvl="0" w:tplc="ACACDD0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ABA3D4F"/>
    <w:multiLevelType w:val="hybridMultilevel"/>
    <w:tmpl w:val="6616D728"/>
    <w:lvl w:ilvl="0" w:tplc="040C0017">
      <w:start w:val="1"/>
      <w:numFmt w:val="lowerLetter"/>
      <w:lvlText w:val="%1)"/>
      <w:lvlJc w:val="left"/>
      <w:pPr>
        <w:ind w:left="786"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nsid w:val="6BAE44A6"/>
    <w:multiLevelType w:val="hybridMultilevel"/>
    <w:tmpl w:val="A2D2ED80"/>
    <w:lvl w:ilvl="0" w:tplc="DAEE745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D1059B"/>
    <w:multiLevelType w:val="hybridMultilevel"/>
    <w:tmpl w:val="D7FA1B32"/>
    <w:lvl w:ilvl="0" w:tplc="C0C874A8">
      <w:start w:val="3"/>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70FD5AF9"/>
    <w:multiLevelType w:val="hybridMultilevel"/>
    <w:tmpl w:val="E6A6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2B5769"/>
    <w:multiLevelType w:val="hybridMultilevel"/>
    <w:tmpl w:val="54B2A8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730420B7"/>
    <w:multiLevelType w:val="hybridMultilevel"/>
    <w:tmpl w:val="72383D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75202540"/>
    <w:multiLevelType w:val="hybridMultilevel"/>
    <w:tmpl w:val="60667D90"/>
    <w:lvl w:ilvl="0" w:tplc="8BA27134">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5D3894"/>
    <w:multiLevelType w:val="multilevel"/>
    <w:tmpl w:val="866A3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73467F0"/>
    <w:multiLevelType w:val="hybridMultilevel"/>
    <w:tmpl w:val="4E4AD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313EA6"/>
    <w:multiLevelType w:val="hybridMultilevel"/>
    <w:tmpl w:val="3BB060C0"/>
    <w:lvl w:ilvl="0" w:tplc="2B12D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A055A1B"/>
    <w:multiLevelType w:val="hybridMultilevel"/>
    <w:tmpl w:val="08C83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804988"/>
    <w:multiLevelType w:val="hybridMultilevel"/>
    <w:tmpl w:val="59E2A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BCE53EA"/>
    <w:multiLevelType w:val="hybridMultilevel"/>
    <w:tmpl w:val="C44E59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nsid w:val="7C755B36"/>
    <w:multiLevelType w:val="hybridMultilevel"/>
    <w:tmpl w:val="3DF2F6E2"/>
    <w:lvl w:ilvl="0" w:tplc="AE0C7328">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FE559C8"/>
    <w:multiLevelType w:val="hybridMultilevel"/>
    <w:tmpl w:val="A5A651B4"/>
    <w:lvl w:ilvl="0" w:tplc="ACACDD0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29"/>
  </w:num>
  <w:num w:numId="3">
    <w:abstractNumId w:val="14"/>
  </w:num>
  <w:num w:numId="4">
    <w:abstractNumId w:val="37"/>
  </w:num>
  <w:num w:numId="5">
    <w:abstractNumId w:val="5"/>
  </w:num>
  <w:num w:numId="6">
    <w:abstractNumId w:val="28"/>
  </w:num>
  <w:num w:numId="7">
    <w:abstractNumId w:val="33"/>
  </w:num>
  <w:num w:numId="8">
    <w:abstractNumId w:val="32"/>
  </w:num>
  <w:num w:numId="9">
    <w:abstractNumId w:val="7"/>
  </w:num>
  <w:num w:numId="10">
    <w:abstractNumId w:val="48"/>
  </w:num>
  <w:num w:numId="11">
    <w:abstractNumId w:val="21"/>
  </w:num>
  <w:num w:numId="12">
    <w:abstractNumId w:val="26"/>
  </w:num>
  <w:num w:numId="13">
    <w:abstractNumId w:val="39"/>
  </w:num>
  <w:num w:numId="14">
    <w:abstractNumId w:val="15"/>
  </w:num>
  <w:num w:numId="15">
    <w:abstractNumId w:val="8"/>
  </w:num>
  <w:num w:numId="16">
    <w:abstractNumId w:val="30"/>
  </w:num>
  <w:num w:numId="17">
    <w:abstractNumId w:val="45"/>
  </w:num>
  <w:num w:numId="18">
    <w:abstractNumId w:val="42"/>
  </w:num>
  <w:num w:numId="19">
    <w:abstractNumId w:val="0"/>
  </w:num>
  <w:num w:numId="20">
    <w:abstractNumId w:val="50"/>
  </w:num>
  <w:num w:numId="21">
    <w:abstractNumId w:val="31"/>
  </w:num>
  <w:num w:numId="22">
    <w:abstractNumId w:val="43"/>
  </w:num>
  <w:num w:numId="23">
    <w:abstractNumId w:val="20"/>
  </w:num>
  <w:num w:numId="24">
    <w:abstractNumId w:val="3"/>
  </w:num>
  <w:num w:numId="25">
    <w:abstractNumId w:val="3"/>
    <w:lvlOverride w:ilvl="0">
      <w:lvl w:ilvl="0">
        <w:numFmt w:val="bullet"/>
        <w:lvlText w:val="●"/>
        <w:lvlJc w:val="left"/>
        <w:pPr>
          <w:tabs>
            <w:tab w:val="num" w:pos="358"/>
          </w:tabs>
          <w:ind w:left="142"/>
        </w:pPr>
        <w:rPr>
          <w:rFonts w:ascii="Arial" w:hAnsi="Arial"/>
          <w:snapToGrid/>
          <w:color w:val="auto"/>
          <w:spacing w:val="5"/>
          <w:sz w:val="24"/>
        </w:rPr>
      </w:lvl>
    </w:lvlOverride>
  </w:num>
  <w:num w:numId="26">
    <w:abstractNumId w:val="3"/>
    <w:lvlOverride w:ilvl="0">
      <w:lvl w:ilvl="0">
        <w:numFmt w:val="bullet"/>
        <w:lvlText w:val="●"/>
        <w:lvlJc w:val="left"/>
        <w:pPr>
          <w:tabs>
            <w:tab w:val="num" w:pos="288"/>
          </w:tabs>
          <w:ind w:left="144"/>
        </w:pPr>
        <w:rPr>
          <w:rFonts w:ascii="Arial" w:hAnsi="Arial"/>
          <w:b/>
          <w:snapToGrid/>
          <w:color w:val="auto"/>
          <w:spacing w:val="3"/>
          <w:sz w:val="24"/>
        </w:rPr>
      </w:lvl>
    </w:lvlOverride>
  </w:num>
  <w:num w:numId="27">
    <w:abstractNumId w:val="0"/>
    <w:lvlOverride w:ilvl="0">
      <w:lvl w:ilvl="0">
        <w:numFmt w:val="bullet"/>
        <w:lvlText w:val="-"/>
        <w:lvlJc w:val="left"/>
        <w:pPr>
          <w:tabs>
            <w:tab w:val="num" w:pos="288"/>
          </w:tabs>
          <w:ind w:left="144" w:firstLine="720"/>
        </w:pPr>
        <w:rPr>
          <w:rFonts w:ascii="Symbol" w:hAnsi="Symbol"/>
          <w:snapToGrid/>
          <w:color w:val="FF0000"/>
          <w:spacing w:val="7"/>
          <w:sz w:val="24"/>
        </w:rPr>
      </w:lvl>
    </w:lvlOverride>
  </w:num>
  <w:num w:numId="28">
    <w:abstractNumId w:val="0"/>
    <w:lvlOverride w:ilvl="0">
      <w:lvl w:ilvl="0">
        <w:numFmt w:val="bullet"/>
        <w:lvlText w:val="-"/>
        <w:lvlJc w:val="left"/>
        <w:pPr>
          <w:tabs>
            <w:tab w:val="num" w:pos="216"/>
          </w:tabs>
          <w:ind w:left="144" w:firstLine="720"/>
        </w:pPr>
        <w:rPr>
          <w:rFonts w:ascii="Symbol" w:hAnsi="Symbol"/>
          <w:snapToGrid/>
          <w:color w:val="FF0000"/>
          <w:spacing w:val="-5"/>
          <w:sz w:val="24"/>
        </w:rPr>
      </w:lvl>
    </w:lvlOverride>
  </w:num>
  <w:num w:numId="29">
    <w:abstractNumId w:val="3"/>
    <w:lvlOverride w:ilvl="0">
      <w:lvl w:ilvl="0">
        <w:numFmt w:val="bullet"/>
        <w:lvlText w:val="●"/>
        <w:lvlJc w:val="left"/>
        <w:pPr>
          <w:tabs>
            <w:tab w:val="num" w:pos="286"/>
          </w:tabs>
          <w:ind w:left="142"/>
        </w:pPr>
        <w:rPr>
          <w:rFonts w:ascii="Arial" w:hAnsi="Arial"/>
          <w:snapToGrid/>
          <w:color w:val="auto"/>
          <w:spacing w:val="5"/>
          <w:sz w:val="24"/>
        </w:rPr>
      </w:lvl>
    </w:lvlOverride>
  </w:num>
  <w:num w:numId="30">
    <w:abstractNumId w:val="3"/>
    <w:lvlOverride w:ilvl="0">
      <w:lvl w:ilvl="0">
        <w:numFmt w:val="bullet"/>
        <w:lvlText w:val="●"/>
        <w:lvlJc w:val="left"/>
        <w:pPr>
          <w:tabs>
            <w:tab w:val="num" w:pos="432"/>
          </w:tabs>
          <w:ind w:left="144"/>
        </w:pPr>
        <w:rPr>
          <w:rFonts w:ascii="Arial" w:hAnsi="Arial"/>
          <w:b/>
          <w:snapToGrid/>
          <w:color w:val="auto"/>
          <w:spacing w:val="13"/>
          <w:sz w:val="24"/>
        </w:rPr>
      </w:lvl>
    </w:lvlOverride>
  </w:num>
  <w:num w:numId="31">
    <w:abstractNumId w:val="49"/>
  </w:num>
  <w:num w:numId="32">
    <w:abstractNumId w:val="38"/>
  </w:num>
  <w:num w:numId="33">
    <w:abstractNumId w:val="6"/>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47"/>
  </w:num>
  <w:num w:numId="38">
    <w:abstractNumId w:val="17"/>
  </w:num>
  <w:num w:numId="39">
    <w:abstractNumId w:val="22"/>
  </w:num>
  <w:num w:numId="40">
    <w:abstractNumId w:val="16"/>
  </w:num>
  <w:num w:numId="41">
    <w:abstractNumId w:val="4"/>
  </w:num>
  <w:num w:numId="42">
    <w:abstractNumId w:val="11"/>
  </w:num>
  <w:num w:numId="43">
    <w:abstractNumId w:val="25"/>
  </w:num>
  <w:num w:numId="44">
    <w:abstractNumId w:val="35"/>
  </w:num>
  <w:num w:numId="45">
    <w:abstractNumId w:val="34"/>
  </w:num>
  <w:num w:numId="46">
    <w:abstractNumId w:val="27"/>
  </w:num>
  <w:num w:numId="47">
    <w:abstractNumId w:val="23"/>
  </w:num>
  <w:num w:numId="48">
    <w:abstractNumId w:val="41"/>
  </w:num>
  <w:num w:numId="49">
    <w:abstractNumId w:val="1"/>
  </w:num>
  <w:num w:numId="50">
    <w:abstractNumId w:val="36"/>
  </w:num>
  <w:num w:numId="51">
    <w:abstractNumId w:val="44"/>
  </w:num>
  <w:num w:numId="52">
    <w:abstractNumId w:val="12"/>
  </w:num>
  <w:num w:numId="53">
    <w:abstractNumId w:val="13"/>
  </w:num>
  <w:num w:numId="54">
    <w:abstractNumId w:val="2"/>
  </w:num>
  <w:num w:numId="55">
    <w:abstractNumId w:val="19"/>
  </w:num>
  <w:num w:numId="56">
    <w:abstractNumId w:val="10"/>
  </w:num>
  <w:num w:numId="57">
    <w:abstractNumId w:val="24"/>
  </w:num>
  <w:num w:numId="58">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5AC"/>
    <w:rsid w:val="00000A1F"/>
    <w:rsid w:val="00005338"/>
    <w:rsid w:val="00005967"/>
    <w:rsid w:val="000102F0"/>
    <w:rsid w:val="00012F5D"/>
    <w:rsid w:val="000132C3"/>
    <w:rsid w:val="000230A2"/>
    <w:rsid w:val="0003128A"/>
    <w:rsid w:val="000405B3"/>
    <w:rsid w:val="00046662"/>
    <w:rsid w:val="00046BB6"/>
    <w:rsid w:val="00047CB4"/>
    <w:rsid w:val="000554B6"/>
    <w:rsid w:val="00055ACB"/>
    <w:rsid w:val="00064625"/>
    <w:rsid w:val="00066518"/>
    <w:rsid w:val="00070003"/>
    <w:rsid w:val="00072C3F"/>
    <w:rsid w:val="00077960"/>
    <w:rsid w:val="00081D1C"/>
    <w:rsid w:val="0008285D"/>
    <w:rsid w:val="00084C34"/>
    <w:rsid w:val="00084EAF"/>
    <w:rsid w:val="0008753B"/>
    <w:rsid w:val="00092450"/>
    <w:rsid w:val="00094AC7"/>
    <w:rsid w:val="000A0B23"/>
    <w:rsid w:val="000A1D16"/>
    <w:rsid w:val="000A716A"/>
    <w:rsid w:val="000D7519"/>
    <w:rsid w:val="000E09EF"/>
    <w:rsid w:val="000E5CF0"/>
    <w:rsid w:val="000E6BAE"/>
    <w:rsid w:val="000F1818"/>
    <w:rsid w:val="000F37C8"/>
    <w:rsid w:val="00105810"/>
    <w:rsid w:val="00107CBC"/>
    <w:rsid w:val="0011192D"/>
    <w:rsid w:val="00112AE5"/>
    <w:rsid w:val="001157B9"/>
    <w:rsid w:val="00117ACA"/>
    <w:rsid w:val="001302DE"/>
    <w:rsid w:val="001319EE"/>
    <w:rsid w:val="001349E0"/>
    <w:rsid w:val="0013526E"/>
    <w:rsid w:val="00152140"/>
    <w:rsid w:val="001574C2"/>
    <w:rsid w:val="00163C52"/>
    <w:rsid w:val="00177DA5"/>
    <w:rsid w:val="00180B14"/>
    <w:rsid w:val="00196D9C"/>
    <w:rsid w:val="001A5A22"/>
    <w:rsid w:val="001A6F82"/>
    <w:rsid w:val="001B4314"/>
    <w:rsid w:val="001C2BCD"/>
    <w:rsid w:val="001C6379"/>
    <w:rsid w:val="001D0F73"/>
    <w:rsid w:val="001D502A"/>
    <w:rsid w:val="002127D7"/>
    <w:rsid w:val="00236F69"/>
    <w:rsid w:val="002607B1"/>
    <w:rsid w:val="00263268"/>
    <w:rsid w:val="0027112A"/>
    <w:rsid w:val="00272E28"/>
    <w:rsid w:val="00291149"/>
    <w:rsid w:val="00291B58"/>
    <w:rsid w:val="00293DA5"/>
    <w:rsid w:val="0029403B"/>
    <w:rsid w:val="002C6937"/>
    <w:rsid w:val="002D0D9A"/>
    <w:rsid w:val="002D2468"/>
    <w:rsid w:val="002D7AD5"/>
    <w:rsid w:val="002E21CD"/>
    <w:rsid w:val="002E2491"/>
    <w:rsid w:val="002E492C"/>
    <w:rsid w:val="002E7996"/>
    <w:rsid w:val="002E7F6C"/>
    <w:rsid w:val="002F3F7D"/>
    <w:rsid w:val="002F619C"/>
    <w:rsid w:val="003006CB"/>
    <w:rsid w:val="0030242B"/>
    <w:rsid w:val="00303688"/>
    <w:rsid w:val="00304D42"/>
    <w:rsid w:val="00306938"/>
    <w:rsid w:val="00306B49"/>
    <w:rsid w:val="00314391"/>
    <w:rsid w:val="00314DD5"/>
    <w:rsid w:val="00316B03"/>
    <w:rsid w:val="003236DC"/>
    <w:rsid w:val="0032517A"/>
    <w:rsid w:val="003353B3"/>
    <w:rsid w:val="003402CD"/>
    <w:rsid w:val="003434F3"/>
    <w:rsid w:val="00345DAC"/>
    <w:rsid w:val="00346A46"/>
    <w:rsid w:val="00347362"/>
    <w:rsid w:val="0034744F"/>
    <w:rsid w:val="003550B6"/>
    <w:rsid w:val="0035540F"/>
    <w:rsid w:val="0036690A"/>
    <w:rsid w:val="00383F72"/>
    <w:rsid w:val="003B1316"/>
    <w:rsid w:val="003B160B"/>
    <w:rsid w:val="003B2F6B"/>
    <w:rsid w:val="003B3298"/>
    <w:rsid w:val="003B3B95"/>
    <w:rsid w:val="003C313E"/>
    <w:rsid w:val="003C64B5"/>
    <w:rsid w:val="003C6A18"/>
    <w:rsid w:val="003D09CD"/>
    <w:rsid w:val="003D5F92"/>
    <w:rsid w:val="003E2F71"/>
    <w:rsid w:val="003E3A9D"/>
    <w:rsid w:val="003F3A21"/>
    <w:rsid w:val="003F6E39"/>
    <w:rsid w:val="003F76F2"/>
    <w:rsid w:val="00401809"/>
    <w:rsid w:val="0040347F"/>
    <w:rsid w:val="004063E5"/>
    <w:rsid w:val="004152E5"/>
    <w:rsid w:val="00415327"/>
    <w:rsid w:val="00416FE2"/>
    <w:rsid w:val="0043453F"/>
    <w:rsid w:val="00452204"/>
    <w:rsid w:val="00456C09"/>
    <w:rsid w:val="00472E92"/>
    <w:rsid w:val="00490489"/>
    <w:rsid w:val="004920A4"/>
    <w:rsid w:val="004A46E4"/>
    <w:rsid w:val="004B507A"/>
    <w:rsid w:val="004D0E9E"/>
    <w:rsid w:val="004E4D13"/>
    <w:rsid w:val="004F338E"/>
    <w:rsid w:val="004F559E"/>
    <w:rsid w:val="0050640A"/>
    <w:rsid w:val="0051143C"/>
    <w:rsid w:val="00512ED4"/>
    <w:rsid w:val="0052152A"/>
    <w:rsid w:val="00535904"/>
    <w:rsid w:val="0053642B"/>
    <w:rsid w:val="0054125C"/>
    <w:rsid w:val="00543C18"/>
    <w:rsid w:val="0055139E"/>
    <w:rsid w:val="0055234B"/>
    <w:rsid w:val="00556743"/>
    <w:rsid w:val="005636AA"/>
    <w:rsid w:val="00574671"/>
    <w:rsid w:val="0058530D"/>
    <w:rsid w:val="0059283D"/>
    <w:rsid w:val="005938D2"/>
    <w:rsid w:val="00595D90"/>
    <w:rsid w:val="0059684F"/>
    <w:rsid w:val="005A7C2C"/>
    <w:rsid w:val="005B03DE"/>
    <w:rsid w:val="005B1431"/>
    <w:rsid w:val="005B3292"/>
    <w:rsid w:val="005B4A68"/>
    <w:rsid w:val="005C480D"/>
    <w:rsid w:val="005F59FF"/>
    <w:rsid w:val="005F617F"/>
    <w:rsid w:val="0060005A"/>
    <w:rsid w:val="00602EF2"/>
    <w:rsid w:val="00605BFD"/>
    <w:rsid w:val="00612DB9"/>
    <w:rsid w:val="00615DB5"/>
    <w:rsid w:val="006315AF"/>
    <w:rsid w:val="00640CEF"/>
    <w:rsid w:val="00651F24"/>
    <w:rsid w:val="00657817"/>
    <w:rsid w:val="0067462E"/>
    <w:rsid w:val="00687A02"/>
    <w:rsid w:val="006A416F"/>
    <w:rsid w:val="006B04B9"/>
    <w:rsid w:val="006C0900"/>
    <w:rsid w:val="006C0D14"/>
    <w:rsid w:val="006C38FD"/>
    <w:rsid w:val="006D7826"/>
    <w:rsid w:val="006E5F7B"/>
    <w:rsid w:val="006F4E92"/>
    <w:rsid w:val="006F74BD"/>
    <w:rsid w:val="00700B3E"/>
    <w:rsid w:val="00711E4C"/>
    <w:rsid w:val="0071205E"/>
    <w:rsid w:val="00713343"/>
    <w:rsid w:val="00715873"/>
    <w:rsid w:val="007202BE"/>
    <w:rsid w:val="00723FB3"/>
    <w:rsid w:val="007309F5"/>
    <w:rsid w:val="00733218"/>
    <w:rsid w:val="00743BA5"/>
    <w:rsid w:val="00770054"/>
    <w:rsid w:val="00771F00"/>
    <w:rsid w:val="0077561C"/>
    <w:rsid w:val="00776071"/>
    <w:rsid w:val="007827C7"/>
    <w:rsid w:val="00782A9F"/>
    <w:rsid w:val="00783152"/>
    <w:rsid w:val="00787409"/>
    <w:rsid w:val="007A0637"/>
    <w:rsid w:val="007A0A73"/>
    <w:rsid w:val="007A2A5F"/>
    <w:rsid w:val="007B17B2"/>
    <w:rsid w:val="007B2446"/>
    <w:rsid w:val="007B5E6F"/>
    <w:rsid w:val="007B7197"/>
    <w:rsid w:val="007C2055"/>
    <w:rsid w:val="007C4FF0"/>
    <w:rsid w:val="007C5868"/>
    <w:rsid w:val="007D4F87"/>
    <w:rsid w:val="007E4526"/>
    <w:rsid w:val="007E502C"/>
    <w:rsid w:val="007F4302"/>
    <w:rsid w:val="008024FF"/>
    <w:rsid w:val="00804CC6"/>
    <w:rsid w:val="0082365E"/>
    <w:rsid w:val="00842E25"/>
    <w:rsid w:val="00847C07"/>
    <w:rsid w:val="008525AC"/>
    <w:rsid w:val="00853840"/>
    <w:rsid w:val="008538C2"/>
    <w:rsid w:val="00855641"/>
    <w:rsid w:val="00866F2F"/>
    <w:rsid w:val="00873E43"/>
    <w:rsid w:val="008768A0"/>
    <w:rsid w:val="0087799F"/>
    <w:rsid w:val="00890432"/>
    <w:rsid w:val="008919A9"/>
    <w:rsid w:val="008968E3"/>
    <w:rsid w:val="008D40D4"/>
    <w:rsid w:val="008D5301"/>
    <w:rsid w:val="008E2F9E"/>
    <w:rsid w:val="008E65C1"/>
    <w:rsid w:val="008F18A9"/>
    <w:rsid w:val="008F76F5"/>
    <w:rsid w:val="008F784E"/>
    <w:rsid w:val="00912FBE"/>
    <w:rsid w:val="0092367D"/>
    <w:rsid w:val="009272CD"/>
    <w:rsid w:val="009317EE"/>
    <w:rsid w:val="0093244E"/>
    <w:rsid w:val="00942043"/>
    <w:rsid w:val="009507D9"/>
    <w:rsid w:val="009519D6"/>
    <w:rsid w:val="00956C5A"/>
    <w:rsid w:val="0096072C"/>
    <w:rsid w:val="009656D5"/>
    <w:rsid w:val="0096754C"/>
    <w:rsid w:val="0097306E"/>
    <w:rsid w:val="009810CF"/>
    <w:rsid w:val="00990128"/>
    <w:rsid w:val="00995819"/>
    <w:rsid w:val="009B0000"/>
    <w:rsid w:val="009C103C"/>
    <w:rsid w:val="009C3085"/>
    <w:rsid w:val="009C48D2"/>
    <w:rsid w:val="009C4E45"/>
    <w:rsid w:val="009C5E01"/>
    <w:rsid w:val="009C628C"/>
    <w:rsid w:val="009D3185"/>
    <w:rsid w:val="009E3A43"/>
    <w:rsid w:val="009F6BCF"/>
    <w:rsid w:val="00A11D31"/>
    <w:rsid w:val="00A12AF1"/>
    <w:rsid w:val="00A13C74"/>
    <w:rsid w:val="00A20200"/>
    <w:rsid w:val="00A22F23"/>
    <w:rsid w:val="00A31D8E"/>
    <w:rsid w:val="00A32B62"/>
    <w:rsid w:val="00A40C4F"/>
    <w:rsid w:val="00A4220B"/>
    <w:rsid w:val="00A43B8B"/>
    <w:rsid w:val="00A4669A"/>
    <w:rsid w:val="00A55610"/>
    <w:rsid w:val="00A62104"/>
    <w:rsid w:val="00A64303"/>
    <w:rsid w:val="00A643A5"/>
    <w:rsid w:val="00A67EF9"/>
    <w:rsid w:val="00A7365B"/>
    <w:rsid w:val="00A746FE"/>
    <w:rsid w:val="00A77BF6"/>
    <w:rsid w:val="00A80DEF"/>
    <w:rsid w:val="00A81E78"/>
    <w:rsid w:val="00A86A3C"/>
    <w:rsid w:val="00A957A8"/>
    <w:rsid w:val="00AA2671"/>
    <w:rsid w:val="00AA3E5B"/>
    <w:rsid w:val="00AB0FB4"/>
    <w:rsid w:val="00AC29C3"/>
    <w:rsid w:val="00AC3378"/>
    <w:rsid w:val="00AC4346"/>
    <w:rsid w:val="00AD17C8"/>
    <w:rsid w:val="00AD1B71"/>
    <w:rsid w:val="00AF392C"/>
    <w:rsid w:val="00AF428B"/>
    <w:rsid w:val="00AF6A2D"/>
    <w:rsid w:val="00B0069E"/>
    <w:rsid w:val="00B06BB4"/>
    <w:rsid w:val="00B116EE"/>
    <w:rsid w:val="00B17B78"/>
    <w:rsid w:val="00B20048"/>
    <w:rsid w:val="00B22D31"/>
    <w:rsid w:val="00B44A44"/>
    <w:rsid w:val="00B45AC8"/>
    <w:rsid w:val="00B46BCD"/>
    <w:rsid w:val="00B50423"/>
    <w:rsid w:val="00B553BB"/>
    <w:rsid w:val="00B55654"/>
    <w:rsid w:val="00B57AC5"/>
    <w:rsid w:val="00B718EB"/>
    <w:rsid w:val="00B72101"/>
    <w:rsid w:val="00BA5226"/>
    <w:rsid w:val="00BA5F47"/>
    <w:rsid w:val="00BB42B3"/>
    <w:rsid w:val="00BB5E1B"/>
    <w:rsid w:val="00BC20B5"/>
    <w:rsid w:val="00BC6FCB"/>
    <w:rsid w:val="00BD18C9"/>
    <w:rsid w:val="00BD381C"/>
    <w:rsid w:val="00BD67D7"/>
    <w:rsid w:val="00BE3DED"/>
    <w:rsid w:val="00BE6C92"/>
    <w:rsid w:val="00BF0953"/>
    <w:rsid w:val="00C04891"/>
    <w:rsid w:val="00C05000"/>
    <w:rsid w:val="00C14F24"/>
    <w:rsid w:val="00C17C25"/>
    <w:rsid w:val="00C22880"/>
    <w:rsid w:val="00C24976"/>
    <w:rsid w:val="00C305F2"/>
    <w:rsid w:val="00C43983"/>
    <w:rsid w:val="00C46EED"/>
    <w:rsid w:val="00C60591"/>
    <w:rsid w:val="00C61F58"/>
    <w:rsid w:val="00C626C1"/>
    <w:rsid w:val="00C6649D"/>
    <w:rsid w:val="00C74C12"/>
    <w:rsid w:val="00C76BDF"/>
    <w:rsid w:val="00C853F0"/>
    <w:rsid w:val="00C96735"/>
    <w:rsid w:val="00CA0C49"/>
    <w:rsid w:val="00CA4350"/>
    <w:rsid w:val="00CB1347"/>
    <w:rsid w:val="00CB4532"/>
    <w:rsid w:val="00CB5FAA"/>
    <w:rsid w:val="00CC5AAF"/>
    <w:rsid w:val="00CC5B11"/>
    <w:rsid w:val="00CD3ED8"/>
    <w:rsid w:val="00CD47A0"/>
    <w:rsid w:val="00CE27F5"/>
    <w:rsid w:val="00D012E6"/>
    <w:rsid w:val="00D05262"/>
    <w:rsid w:val="00D15268"/>
    <w:rsid w:val="00D22051"/>
    <w:rsid w:val="00D257A8"/>
    <w:rsid w:val="00D35713"/>
    <w:rsid w:val="00D40BF7"/>
    <w:rsid w:val="00D5638B"/>
    <w:rsid w:val="00D736AF"/>
    <w:rsid w:val="00D81BBC"/>
    <w:rsid w:val="00D82A50"/>
    <w:rsid w:val="00D82C54"/>
    <w:rsid w:val="00D92AF2"/>
    <w:rsid w:val="00DA2DD6"/>
    <w:rsid w:val="00DA3310"/>
    <w:rsid w:val="00DA58D1"/>
    <w:rsid w:val="00DB4F47"/>
    <w:rsid w:val="00DB5792"/>
    <w:rsid w:val="00DC1CA0"/>
    <w:rsid w:val="00DC4111"/>
    <w:rsid w:val="00DE01DB"/>
    <w:rsid w:val="00DE28BD"/>
    <w:rsid w:val="00DE4F83"/>
    <w:rsid w:val="00DE55E2"/>
    <w:rsid w:val="00DE7DA0"/>
    <w:rsid w:val="00DE7E2F"/>
    <w:rsid w:val="00DF04CE"/>
    <w:rsid w:val="00DF174E"/>
    <w:rsid w:val="00DF2844"/>
    <w:rsid w:val="00DF7072"/>
    <w:rsid w:val="00DF7272"/>
    <w:rsid w:val="00E05B06"/>
    <w:rsid w:val="00E30F24"/>
    <w:rsid w:val="00E35EB6"/>
    <w:rsid w:val="00E4729D"/>
    <w:rsid w:val="00E473D1"/>
    <w:rsid w:val="00E51B80"/>
    <w:rsid w:val="00E53E15"/>
    <w:rsid w:val="00E66AE9"/>
    <w:rsid w:val="00E66D1C"/>
    <w:rsid w:val="00E71D4C"/>
    <w:rsid w:val="00E726DA"/>
    <w:rsid w:val="00E963E5"/>
    <w:rsid w:val="00EA47CE"/>
    <w:rsid w:val="00EA7349"/>
    <w:rsid w:val="00EB364C"/>
    <w:rsid w:val="00EB36FE"/>
    <w:rsid w:val="00EB4CDC"/>
    <w:rsid w:val="00ED0376"/>
    <w:rsid w:val="00ED64D2"/>
    <w:rsid w:val="00EE02ED"/>
    <w:rsid w:val="00EE138A"/>
    <w:rsid w:val="00EE1F48"/>
    <w:rsid w:val="00EF0B31"/>
    <w:rsid w:val="00F03D02"/>
    <w:rsid w:val="00F06D0E"/>
    <w:rsid w:val="00F0728A"/>
    <w:rsid w:val="00F14F9E"/>
    <w:rsid w:val="00F238DF"/>
    <w:rsid w:val="00F23DA8"/>
    <w:rsid w:val="00F3126D"/>
    <w:rsid w:val="00F34EC9"/>
    <w:rsid w:val="00F46A4B"/>
    <w:rsid w:val="00F53B52"/>
    <w:rsid w:val="00F67EDB"/>
    <w:rsid w:val="00F73C39"/>
    <w:rsid w:val="00F85746"/>
    <w:rsid w:val="00F85944"/>
    <w:rsid w:val="00F91002"/>
    <w:rsid w:val="00F917B4"/>
    <w:rsid w:val="00FA013D"/>
    <w:rsid w:val="00FA2C0D"/>
    <w:rsid w:val="00FB2633"/>
    <w:rsid w:val="00FC7ECD"/>
    <w:rsid w:val="00FD1F75"/>
    <w:rsid w:val="00FD3F34"/>
    <w:rsid w:val="00FD5CE5"/>
    <w:rsid w:val="00FD62DD"/>
    <w:rsid w:val="00FE3D65"/>
    <w:rsid w:val="00FE684D"/>
    <w:rsid w:val="00FF2860"/>
    <w:rsid w:val="00FF5FA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5B11"/>
    <w:pPr>
      <w:ind w:left="720"/>
      <w:contextualSpacing/>
    </w:pPr>
  </w:style>
  <w:style w:type="paragraph" w:styleId="FootnoteText">
    <w:name w:val="footnote text"/>
    <w:basedOn w:val="Normal"/>
    <w:link w:val="FootnoteTextChar"/>
    <w:uiPriority w:val="99"/>
    <w:semiHidden/>
    <w:rsid w:val="005F617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F617F"/>
    <w:rPr>
      <w:rFonts w:cs="Times New Roman"/>
      <w:sz w:val="20"/>
      <w:szCs w:val="20"/>
    </w:rPr>
  </w:style>
  <w:style w:type="character" w:styleId="FootnoteReference">
    <w:name w:val="footnote reference"/>
    <w:basedOn w:val="DefaultParagraphFont"/>
    <w:uiPriority w:val="99"/>
    <w:rsid w:val="005F617F"/>
    <w:rPr>
      <w:rFonts w:cs="Times New Roman"/>
      <w:vertAlign w:val="superscript"/>
    </w:rPr>
  </w:style>
  <w:style w:type="paragraph" w:styleId="NormalWeb">
    <w:name w:val="Normal (Web)"/>
    <w:basedOn w:val="Normal"/>
    <w:uiPriority w:val="99"/>
    <w:semiHidden/>
    <w:rsid w:val="00C14F24"/>
    <w:pPr>
      <w:spacing w:before="100" w:beforeAutospacing="1" w:after="100" w:afterAutospacing="1" w:line="240" w:lineRule="auto"/>
    </w:pPr>
    <w:rPr>
      <w:rFonts w:ascii="Times New Roman" w:hAnsi="Times New Roman"/>
      <w:sz w:val="24"/>
      <w:szCs w:val="24"/>
      <w:lang w:eastAsia="fr-FR"/>
    </w:rPr>
  </w:style>
  <w:style w:type="paragraph" w:styleId="Header">
    <w:name w:val="header"/>
    <w:basedOn w:val="Normal"/>
    <w:link w:val="HeaderChar"/>
    <w:uiPriority w:val="99"/>
    <w:rsid w:val="00F06D0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06D0E"/>
    <w:rPr>
      <w:rFonts w:cs="Times New Roman"/>
    </w:rPr>
  </w:style>
  <w:style w:type="paragraph" w:styleId="Footer">
    <w:name w:val="footer"/>
    <w:basedOn w:val="Normal"/>
    <w:link w:val="FooterChar"/>
    <w:uiPriority w:val="99"/>
    <w:rsid w:val="00F06D0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06D0E"/>
    <w:rPr>
      <w:rFonts w:cs="Times New Roman"/>
    </w:rPr>
  </w:style>
  <w:style w:type="paragraph" w:styleId="BalloonText">
    <w:name w:val="Balloon Text"/>
    <w:basedOn w:val="Normal"/>
    <w:link w:val="BalloonTextChar"/>
    <w:uiPriority w:val="99"/>
    <w:semiHidden/>
    <w:rsid w:val="002F3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F7D"/>
    <w:rPr>
      <w:rFonts w:ascii="Tahoma" w:hAnsi="Tahoma" w:cs="Tahoma"/>
      <w:sz w:val="16"/>
      <w:szCs w:val="16"/>
    </w:rPr>
  </w:style>
  <w:style w:type="paragraph" w:styleId="EndnoteText">
    <w:name w:val="endnote text"/>
    <w:basedOn w:val="Normal"/>
    <w:link w:val="EndnoteTextChar"/>
    <w:uiPriority w:val="99"/>
    <w:semiHidden/>
    <w:rsid w:val="0065781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57817"/>
    <w:rPr>
      <w:rFonts w:cs="Times New Roman"/>
      <w:sz w:val="20"/>
      <w:szCs w:val="20"/>
    </w:rPr>
  </w:style>
  <w:style w:type="character" w:styleId="EndnoteReference">
    <w:name w:val="endnote reference"/>
    <w:basedOn w:val="DefaultParagraphFont"/>
    <w:uiPriority w:val="99"/>
    <w:semiHidden/>
    <w:rsid w:val="00657817"/>
    <w:rPr>
      <w:rFonts w:cs="Times New Roman"/>
      <w:vertAlign w:val="superscript"/>
    </w:rPr>
  </w:style>
  <w:style w:type="paragraph" w:styleId="NoSpacing">
    <w:name w:val="No Spacing"/>
    <w:uiPriority w:val="99"/>
    <w:qFormat/>
    <w:rsid w:val="00890432"/>
    <w:rPr>
      <w:lang w:eastAsia="en-US"/>
    </w:rPr>
  </w:style>
</w:styles>
</file>

<file path=word/webSettings.xml><?xml version="1.0" encoding="utf-8"?>
<w:webSettings xmlns:r="http://schemas.openxmlformats.org/officeDocument/2006/relationships" xmlns:w="http://schemas.openxmlformats.org/wordprocessingml/2006/main">
  <w:divs>
    <w:div w:id="708800584">
      <w:marLeft w:val="0"/>
      <w:marRight w:val="0"/>
      <w:marTop w:val="0"/>
      <w:marBottom w:val="0"/>
      <w:divBdr>
        <w:top w:val="none" w:sz="0" w:space="0" w:color="auto"/>
        <w:left w:val="none" w:sz="0" w:space="0" w:color="auto"/>
        <w:bottom w:val="none" w:sz="0" w:space="0" w:color="auto"/>
        <w:right w:val="none" w:sz="0" w:space="0" w:color="auto"/>
      </w:divBdr>
    </w:div>
    <w:div w:id="708800585">
      <w:marLeft w:val="0"/>
      <w:marRight w:val="0"/>
      <w:marTop w:val="0"/>
      <w:marBottom w:val="0"/>
      <w:divBdr>
        <w:top w:val="none" w:sz="0" w:space="0" w:color="auto"/>
        <w:left w:val="none" w:sz="0" w:space="0" w:color="auto"/>
        <w:bottom w:val="none" w:sz="0" w:space="0" w:color="auto"/>
        <w:right w:val="none" w:sz="0" w:space="0" w:color="auto"/>
      </w:divBdr>
    </w:div>
    <w:div w:id="708800586">
      <w:marLeft w:val="0"/>
      <w:marRight w:val="0"/>
      <w:marTop w:val="0"/>
      <w:marBottom w:val="0"/>
      <w:divBdr>
        <w:top w:val="none" w:sz="0" w:space="0" w:color="auto"/>
        <w:left w:val="none" w:sz="0" w:space="0" w:color="auto"/>
        <w:bottom w:val="none" w:sz="0" w:space="0" w:color="auto"/>
        <w:right w:val="none" w:sz="0" w:space="0" w:color="auto"/>
      </w:divBdr>
    </w:div>
    <w:div w:id="708800587">
      <w:marLeft w:val="0"/>
      <w:marRight w:val="0"/>
      <w:marTop w:val="0"/>
      <w:marBottom w:val="0"/>
      <w:divBdr>
        <w:top w:val="none" w:sz="0" w:space="0" w:color="auto"/>
        <w:left w:val="none" w:sz="0" w:space="0" w:color="auto"/>
        <w:bottom w:val="none" w:sz="0" w:space="0" w:color="auto"/>
        <w:right w:val="none" w:sz="0" w:space="0" w:color="auto"/>
      </w:divBdr>
    </w:div>
    <w:div w:id="708800588">
      <w:marLeft w:val="0"/>
      <w:marRight w:val="0"/>
      <w:marTop w:val="0"/>
      <w:marBottom w:val="0"/>
      <w:divBdr>
        <w:top w:val="none" w:sz="0" w:space="0" w:color="auto"/>
        <w:left w:val="none" w:sz="0" w:space="0" w:color="auto"/>
        <w:bottom w:val="none" w:sz="0" w:space="0" w:color="auto"/>
        <w:right w:val="none" w:sz="0" w:space="0" w:color="auto"/>
      </w:divBdr>
    </w:div>
    <w:div w:id="708800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8380</Words>
  <Characters>-32766</Characters>
  <Application>Microsoft Office Outlook</Application>
  <DocSecurity>0</DocSecurity>
  <Lines>0</Lines>
  <Paragraphs>0</Paragraphs>
  <ScaleCrop>false</ScaleCrop>
  <Company>MEDEF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NATIONAL INTERPROFESSIONNEL DU 11 JANVIER 2013 POUR UN NOUVEAU MODELE ECONOMIQUE ET SOCIAL  AU SERVICE DE LA COMPETITIVITE DES ENTREPRISES ET DE LA SECURISATION DE L’EMPLOI ET DES PARCOURS PROFESSIONNELS DES SALARIES</dc:title>
  <dc:subject/>
  <dc:creator>FOUCHER Antoine</dc:creator>
  <cp:keywords/>
  <dc:description/>
  <cp:lastModifiedBy>PAM</cp:lastModifiedBy>
  <cp:revision>2</cp:revision>
  <cp:lastPrinted>2013-01-11T20:04:00Z</cp:lastPrinted>
  <dcterms:created xsi:type="dcterms:W3CDTF">2013-01-13T08:34:00Z</dcterms:created>
  <dcterms:modified xsi:type="dcterms:W3CDTF">2013-01-13T08:34:00Z</dcterms:modified>
</cp:coreProperties>
</file>